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4535.433070866141" w:type="dxa"/>
        <w:gridCol w:w="5102.362204724409" w:type="dxa"/>
      </w:tblGrid>
      <w:tr>
        <w:trPr/>
        <w:tc>
          <w:tcPr>
            <w:tcW w:w="4535.433070866141" w:type="dxa"/>
            <w:noWrap/>
          </w:tcPr>
          <w:p>
            <w:pPr/>
            <w:r>
              <w:pict>
                <v:shape type="#_x0000_t75" stroked="f" style="width:123.71134020619pt; height:4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right"/>
            </w:pPr>
            <w:r>
              <w:pict>
                <v:shape type="#_x0000_t75" stroked="f" style="width:159.375pt; height:34pt; margin-left:0pt; margin-top:0pt; mso-position-horizontal:left; mso-position-vertical:top; mso-position-horizontal-relative:char; mso-position-vertical-relative:line;">
                  <w10:wrap type="inline"/>
                  <v:imagedata r:id="rId8" o:title=""/>
                </v:shape>
              </w:pict>
            </w:r>
          </w:p>
        </w:tc>
      </w:tr>
    </w:tbl>
    <w:p/>
    <w:p/>
    <w:p/>
    <w:p/>
    <w:p/>
    <w:p>
      <w:pPr/>
      <w:r>
        <w:rPr>
          <w:color w:val="B7791F"/>
          <w:sz w:val="22"/>
          <w:szCs w:val="22"/>
          <w:b w:val="1"/>
          <w:bCs w:val="1"/>
          <w:smallCaps w:val="0"/>
          <w:caps w:val="1"/>
        </w:rPr>
        <w:t xml:space="preserve">HealthCheck · Édition 2026</w:t>
      </w:r>
    </w:p>
    <w:p>
      <w:pPr/>
      <w:r>
        <w:rPr>
          <w:color w:val="0F3B38"/>
          <w:sz w:val="56"/>
          <w:szCs w:val="56"/>
          <w:b w:val="1"/>
          <w:bCs w:val="1"/>
        </w:rPr>
        <w:t xml:space="preserve">Rapport de suivi citoyen des structures de santé</w:t>
      </w:r>
    </w:p>
    <w:p>
      <w:pPr/>
      <w:r>
        <w:rPr>
          <w:color w:val="0F766E"/>
          <w:sz w:val="28"/>
          <w:szCs w:val="28"/>
        </w:rPr>
        <w:t xml:space="preserve">HealthCheck — résultats, analyses et recommandations</w:t>
      </w:r>
    </w:p>
    <w:p/>
    <w:p/>
    <w:p>
      <w:pPr/>
      <w:r>
        <w:rPr>
          <w:sz w:val="22"/>
          <w:szCs w:val="22"/>
        </w:rPr>
        <w:t xml:space="preserve">Périmètre : Toutes les provinces, toute la période</w:t>
      </w:r>
    </w:p>
    <w:p>
      <w:pPr/>
      <w:r>
        <w:rPr>
          <w:sz w:val="22"/>
          <w:szCs w:val="22"/>
        </w:rPr>
        <w:t xml:space="preserve">Date : 1 novembre 2026</w:t>
      </w:r>
    </w:p>
    <w:p/>
    <w:p/>
    <w:p/>
    <w:p/>
    <w:p/>
    <w:p/>
    <w:p/>
    <w:p/>
    <w:p>
      <w:pPr/>
      <w:r>
        <w:rPr>
          <w:color w:val="4B5563"/>
          <w:sz w:val="20"/>
          <w:szCs w:val="20"/>
        </w:rPr>
        <w:t xml:space="preserve">Préparé par le Centre de Recherche sur l’Anti-Corruption (CERC)</w:t>
      </w:r>
    </w:p>
    <w:p>
      <w:pPr/>
      <w:r>
        <w:rPr>
          <w:color w:val="0F766E"/>
          <w:sz w:val="20"/>
          <w:szCs w:val="20"/>
        </w:rPr>
        <w:t xml:space="preserve">sante.cerc.cd · info@cerc.cd</w:t>
      </w:r>
    </w:p>
    <w:p>
      <w:pPr>
        <w:sectPr>
          <w:pgSz w:orient="portrait" w:w="11905.511811023622" w:h="16837.79527559055"/>
          <w:vAlign w:val="top"/>
          <w:pgMar w:top="1360.6299212598426" w:right="1133.8582677165352" w:bottom="1133.8582677165352" w:left="1133.8582677165352" w:header="720" w:footer="720" w:gutter="0"/>
          <w:cols w:num="1" w:space="720"/>
        </w:sectPr>
      </w:pPr>
    </w:p>
    <w:p>
      <w:pPr/>
      <w:r>
        <w:rPr>
          <w:color w:val="0F3B38"/>
          <w:sz w:val="36"/>
          <w:szCs w:val="36"/>
          <w:b w:val="1"/>
          <w:bCs w:val="1"/>
        </w:rPr>
        <w:t xml:space="preserve">Table des matières</w:t>
      </w:r>
    </w:p>
    <w:p>
      <w:pPr>
        <w:tabs>
          <w:tab w:val="right" w:leader="dot" w:pos="9062"/>
        </w:tabs>
      </w:pPr>
      <w:r>
        <w:fldChar w:fldCharType="begin"/>
      </w:r>
      <w:r>
        <w:instrText xml:space="preserve">TOC \o 1-1 \h \z \u</w:instrText>
      </w:r>
      <w:r>
        <w:fldChar w:fldCharType="separate"/>
      </w:r>
      <w:hyperlink w:anchor="_Toc0" w:history="1">
        <w:r>
          <w:rPr>
            <w:sz w:val="22"/>
            <w:szCs w:val="22"/>
          </w:rPr>
          <w:t>1. À propos du CERC</w:t>
        </w:r>
        <w:r>
          <w:tab/>
        </w:r>
        <w:r>
          <w:fldChar w:fldCharType="begin"/>
        </w:r>
        <w:r>
          <w:instrText xml:space="preserve">PAGEREF 0 \h</w:instrText>
        </w:r>
        <w:r>
          <w:fldChar w:fldCharType="end"/>
        </w:r>
      </w:hyperlink>
    </w:p>
    <w:p>
      <w:pPr>
        <w:tabs>
          <w:tab w:val="right" w:leader="dot" w:pos="9062"/>
        </w:tabs>
      </w:pPr>
      <w:hyperlink w:anchor="_Toc1" w:history="1">
        <w:r>
          <w:rPr>
            <w:sz w:val="22"/>
            <w:szCs w:val="22"/>
          </w:rPr>
          <w:t>2. HealthCheck</w:t>
        </w:r>
        <w:r>
          <w:tab/>
        </w:r>
        <w:r>
          <w:fldChar w:fldCharType="begin"/>
        </w:r>
        <w:r>
          <w:instrText xml:space="preserve">PAGEREF 1 \h</w:instrText>
        </w:r>
        <w:r>
          <w:fldChar w:fldCharType="end"/>
        </w:r>
      </w:hyperlink>
    </w:p>
    <w:p>
      <w:pPr>
        <w:tabs>
          <w:tab w:val="right" w:leader="dot" w:pos="9062"/>
        </w:tabs>
      </w:pPr>
      <w:hyperlink w:anchor="_Toc2" w:history="1">
        <w:r>
          <w:rPr>
            <w:sz w:val="22"/>
            <w:szCs w:val="22"/>
          </w:rPr>
          <w:t>3. Pourquoi HealthCheck compte</w:t>
        </w:r>
        <w:r>
          <w:tab/>
        </w:r>
        <w:r>
          <w:fldChar w:fldCharType="begin"/>
        </w:r>
        <w:r>
          <w:instrText xml:space="preserve">PAGEREF 2 \h</w:instrText>
        </w:r>
        <w:r>
          <w:fldChar w:fldCharType="end"/>
        </w:r>
      </w:hyperlink>
    </w:p>
    <w:p>
      <w:pPr>
        <w:tabs>
          <w:tab w:val="right" w:leader="dot" w:pos="9062"/>
        </w:tabs>
      </w:pPr>
      <w:hyperlink w:anchor="_Toc3" w:history="1">
        <w:r>
          <w:rPr>
            <w:sz w:val="22"/>
            <w:szCs w:val="22"/>
          </w:rPr>
          <w:t>4. Chiffres clés et constats</w:t>
        </w:r>
        <w:r>
          <w:tab/>
        </w:r>
        <w:r>
          <w:fldChar w:fldCharType="begin"/>
        </w:r>
        <w:r>
          <w:instrText xml:space="preserve">PAGEREF 3 \h</w:instrText>
        </w:r>
        <w:r>
          <w:fldChar w:fldCharType="end"/>
        </w:r>
      </w:hyperlink>
    </w:p>
    <w:p>
      <w:pPr>
        <w:tabs>
          <w:tab w:val="right" w:leader="dot" w:pos="9062"/>
        </w:tabs>
      </w:pPr>
      <w:hyperlink w:anchor="_Toc6" w:history="1">
        <w:r>
          <w:rPr>
            <w:sz w:val="22"/>
            <w:szCs w:val="22"/>
          </w:rPr>
          <w:t>5. Analyse statistique par catégorie</w:t>
        </w:r>
        <w:r>
          <w:tab/>
        </w:r>
        <w:r>
          <w:fldChar w:fldCharType="begin"/>
        </w:r>
        <w:r>
          <w:instrText xml:space="preserve">PAGEREF 6 \h</w:instrText>
        </w:r>
        <w:r>
          <w:fldChar w:fldCharType="end"/>
        </w:r>
      </w:hyperlink>
    </w:p>
    <w:p>
      <w:pPr>
        <w:tabs>
          <w:tab w:val="right" w:leader="dot" w:pos="9062"/>
        </w:tabs>
      </w:pPr>
      <w:hyperlink w:anchor="_Toc8" w:history="1">
        <w:r>
          <w:rPr>
            <w:sz w:val="22"/>
            <w:szCs w:val="22"/>
          </w:rPr>
          <w:t>6. Analyses complémentaires</w:t>
        </w:r>
        <w:r>
          <w:tab/>
        </w:r>
        <w:r>
          <w:fldChar w:fldCharType="begin"/>
        </w:r>
        <w:r>
          <w:instrText xml:space="preserve">PAGEREF 8 \h</w:instrText>
        </w:r>
        <w:r>
          <w:fldChar w:fldCharType="end"/>
        </w:r>
      </w:hyperlink>
    </w:p>
    <w:p>
      <w:pPr>
        <w:tabs>
          <w:tab w:val="right" w:leader="dot" w:pos="9062"/>
        </w:tabs>
      </w:pPr>
      <w:hyperlink w:anchor="_Toc12" w:history="1">
        <w:r>
          <w:rPr>
            <w:sz w:val="22"/>
            <w:szCs w:val="22"/>
          </w:rPr>
          <w:t>7. Recommandations</w:t>
        </w:r>
        <w:r>
          <w:tab/>
        </w:r>
        <w:r>
          <w:fldChar w:fldCharType="begin"/>
        </w:r>
        <w:r>
          <w:instrText xml:space="preserve">PAGEREF 12 \h</w:instrText>
        </w:r>
        <w:r>
          <w:fldChar w:fldCharType="end"/>
        </w:r>
      </w:hyperlink>
    </w:p>
    <w:p>
      <w:pPr>
        <w:tabs>
          <w:tab w:val="right" w:leader="dot" w:pos="9062"/>
        </w:tabs>
      </w:pPr>
      <w:hyperlink w:anchor="_Toc13" w:history="1">
        <w:r>
          <w:rPr>
            <w:sz w:val="22"/>
            <w:szCs w:val="22"/>
          </w:rPr>
          <w:t>8. Lettre au Ministre de la Santé</w:t>
        </w:r>
        <w:r>
          <w:tab/>
        </w:r>
        <w:r>
          <w:fldChar w:fldCharType="begin"/>
        </w:r>
        <w:r>
          <w:instrText xml:space="preserve">PAGEREF 13 \h</w:instrText>
        </w:r>
        <w:r>
          <w:fldChar w:fldCharType="end"/>
        </w:r>
      </w:hyperlink>
    </w:p>
    <w:p>
      <w:r>
        <w:fldChar w:fldCharType="end"/>
      </w:r>
    </w:p>
    <w:p>
      <w:r>
        <w:br w:type="page"/>
      </w:r>
    </w:p>
    <w:p>
      <w:pPr>
        <w:pStyle w:val="Heading1"/>
      </w:pPr>
      <w:bookmarkStart w:id="0" w:name="_Toc0"/>
      <w:r>
        <w:t>1. À propos du CERC</w:t>
      </w:r>
      <w:bookmarkEnd w:id="0"/>
    </w:p>
    <w:p>
      <w:pPr>
        <w:jc w:val="both"/>
        <w:spacing w:after="120"/>
      </w:pPr>
      <w:r>
        <w:rPr/>
        <w:t xml:space="preserve">Le Centre de Recherche sur l’Anti-Corruption (CERC) est une organisation congolaise d’utilité publique, basée à Kinshasa et à Bukavu, qui travaille avec les citoyens pour renforcer l’intégrité, la transparence et la bonne gouvernance des services publics en République démocratique du Congo.</w:t>
      </w:r>
    </w:p>
    <w:p>
      <w:pPr>
        <w:jc w:val="both"/>
        <w:spacing w:after="120"/>
      </w:pPr>
      <w:r>
        <w:rPr/>
        <w:t xml:space="preserve">Depuis 2017, le CERC forme des citoyens au suivi des services publics : écoles avec EduCheck, structures de santé avec HealthCheck. Sa méthode repose sur des faits vérifiés, publiés, et sur un dialogue constructif avec les responsables jusqu’à la résolution des problèmes.</w:t>
      </w:r>
    </w:p>
    <w:p>
      <w:pPr>
        <w:pStyle w:val="Heading1"/>
      </w:pPr>
      <w:bookmarkStart w:id="1" w:name="_Toc1"/>
      <w:r>
        <w:t>2. HealthCheck</w:t>
      </w:r>
      <w:bookmarkEnd w:id="1"/>
    </w:p>
    <w:p>
      <w:pPr>
        <w:jc w:val="both"/>
        <w:spacing w:after="120"/>
      </w:pPr>
      <w:r>
        <w:rPr/>
        <w:t xml:space="preserve">HealthCheck est la plateforme de suivi citoyen des structures de santé du CERC. Dans chaque aire de santé, des membres des CODESA formés par le CERC forment un comité de santé qui visite régulièrement les centres de santé, hôpitaux, cliniques, dispensaires et pharmacies.</w:t>
      </w:r>
    </w:p>
    <w:p>
      <w:pPr>
        <w:jc w:val="both"/>
        <w:spacing w:after="120"/>
      </w:pPr>
      <w:r>
        <w:rPr/>
        <w:t xml:space="preserve">Les comités, les patients, les aides-malades et les professionnels de santé signalent les problèmes constatés. Le CERC vérifie chaque signalement avant publication ; la direction de la structure est informée et invitée à agir ; le comité dialogue avec les responsables et constate la correction sur place. Chaque étape est publique, sans jamais publier le nom d’un signaleur ni de donnée médicale individuelle.</w:t>
      </w:r>
    </w:p>
    <w:p>
      <w:pPr>
        <w:jc w:val="both"/>
        <w:spacing w:after="120"/>
      </w:pPr>
      <w:r>
        <w:rPr>
          <w:b w:val="1"/>
          <w:bCs w:val="1"/>
        </w:rPr>
        <w:t xml:space="preserve">L’approche du CERC — </w:t>
      </w:r>
      <w:r>
        <w:rPr/>
        <w:t xml:space="preserve">Le CERC identifie et forme des membres des CODESA dans chaque aire de santé. Leur comité de santé suit les structures avec HealthCheck, signale les problèmes, dialogue avec les responsables des structures et la zone de santé, et vérifie chaque correction sur place. Les signalements sont vérifiés par le CERC avant publication ; le nom des signaleurs n’est jamais publié.</w:t>
      </w:r>
    </w:p>
    <w:p>
      <w:r>
        <w:br w:type="page"/>
      </w:r>
    </w:p>
    <w:p>
      <w:pPr>
        <w:pStyle w:val="Heading1"/>
      </w:pPr>
      <w:bookmarkStart w:id="2" w:name="_Toc2"/>
      <w:r>
        <w:t>3. Pourquoi HealthCheck compte</w:t>
      </w:r>
      <w:bookmarkEnd w:id="2"/>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Ministère de la Santé</w:t>
            </w:r>
          </w:p>
          <w:p>
            <w:pPr>
              <w:jc w:val="both"/>
            </w:pPr>
            <w:r>
              <w:rPr/>
              <w:t xml:space="preserve">Une vue en temps réel, vérifiée et géolocalisée de la qualité des services dans les structures de santé, pour orienter l’inspection, les budgets et les priorités, et mesurer l’effet des réformes.</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ONG et partenaires techniques et financiers</w:t>
            </w:r>
          </w:p>
          <w:p>
            <w:pPr>
              <w:jc w:val="both"/>
            </w:pPr>
            <w:r>
              <w:rPr/>
              <w:t xml:space="preserve">Des preuves de terrain pour cibler les interventions, suivre l’usage des appuis et rendre compte des résultats grâce à un taux de résolution vérifié sur place.</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Société civile</w:t>
            </w:r>
          </w:p>
          <w:p>
            <w:pPr>
              <w:jc w:val="both"/>
            </w:pPr>
            <w:r>
              <w:rPr/>
              <w:t xml:space="preserve">Un outil de redevabilité sociale : des données ouvertes, téléchargeables, pour documenter le plaidoyer et dialoguer avec les autorités sur la base de faits.</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Patients et communautés</w:t>
            </w:r>
          </w:p>
          <w:p>
            <w:pPr>
              <w:jc w:val="both"/>
            </w:pPr>
            <w:r>
              <w:rPr/>
              <w:t xml:space="preserve">Une voix protégée pour signaler frais illégaux, ruptures de médicaments, mauvais accueil ou détention pour dette, et la possibilité de suivre chaque problème jusqu’à sa résolution.</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Professionnels de santé</w:t>
            </w:r>
          </w:p>
          <w:p>
            <w:pPr>
              <w:jc w:val="both"/>
            </w:pPr>
            <w:r>
              <w:rPr/>
              <w:t xml:space="preserve">Un canal pour faire remonter les défaillances du système — ruptures, matériel en panne, salaires impayés — et pour valoriser publiquement les corrections obtenues.</w:t>
            </w:r>
          </w:p>
        </w:tc>
      </w:tr>
    </w:tbl>
    <w:p/>
    <w:p>
      <w:r>
        <w:br w:type="page"/>
      </w:r>
    </w:p>
    <w:p>
      <w:pPr>
        <w:pStyle w:val="Heading1"/>
      </w:pPr>
      <w:bookmarkStart w:id="3" w:name="_Toc3"/>
      <w:r>
        <w:t>4. Chiffres clés et constats</w:t>
      </w:r>
      <w:bookmarkEnd w:id="3"/>
    </w:p>
    <w:tbl>
      <w:tblGrid>
        <w:gridCol w:w="3174.8031496062986" w:type="dxa"/>
        <w:gridCol w:w="3174.8031496062986" w:type="dxa"/>
        <w:gridCol w:w="3174.8031496062986" w:type="dxa"/>
      </w:tblGrid>
      <w:tblPr>
        <w:tblW w:w="0" w:type="auto"/>
        <w:tblLayout w:type="autofit"/>
        <w:tblCellMar>
          <w:top w:w="100" w:type="dxa"/>
          <w:left w:w="100" w:type="dxa"/>
          <w:right w:w="100" w:type="dxa"/>
          <w:bottom w:w="100" w:type="dxa"/>
        </w:tblCellMar>
      </w:tblPr>
      <w:tr>
        <w:trPr/>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w:t>
            </w:r>
          </w:p>
          <w:p>
            <w:pPr>
              <w:jc w:val="center"/>
            </w:pPr>
            <w:r>
              <w:rPr>
                <w:sz w:val="17"/>
                <w:szCs w:val="17"/>
              </w:rPr>
              <w:t xml:space="preserve">structures de santé suivies</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2</w:t>
            </w:r>
          </w:p>
          <w:p>
            <w:pPr>
              <w:jc w:val="center"/>
            </w:pPr>
            <w:r>
              <w:rPr>
                <w:sz w:val="17"/>
                <w:szCs w:val="17"/>
              </w:rPr>
              <w:t xml:space="preserve">moniteurs actifs</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1</w:t>
            </w:r>
          </w:p>
          <w:p>
            <w:pPr>
              <w:jc w:val="center"/>
            </w:pPr>
            <w:r>
              <w:rPr>
                <w:sz w:val="17"/>
                <w:szCs w:val="17"/>
              </w:rPr>
              <w:t xml:space="preserve">problèmes signalés</w:t>
            </w:r>
          </w:p>
        </w:tc>
      </w:tr>
      <w:tr>
        <w:trPr/>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0 %</w:t>
            </w:r>
          </w:p>
          <w:p>
            <w:pPr>
              <w:jc w:val="center"/>
            </w:pPr>
            <w:r>
              <w:rPr>
                <w:sz w:val="17"/>
                <w:szCs w:val="17"/>
              </w:rPr>
              <w:t xml:space="preserve">de problèmes résolus</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w:t>
            </w:r>
          </w:p>
          <w:p>
            <w:pPr>
              <w:jc w:val="center"/>
            </w:pPr>
            <w:r>
              <w:rPr>
                <w:sz w:val="17"/>
                <w:szCs w:val="17"/>
              </w:rPr>
              <w:t xml:space="preserve">jours : délai médian de correction</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w:t>
            </w:r>
          </w:p>
          <w:p>
            <w:pPr>
              <w:jc w:val="center"/>
            </w:pPr>
            <w:r>
              <w:rPr>
                <w:sz w:val="17"/>
                <w:szCs w:val="17"/>
              </w:rPr>
              <w:t xml:space="preserve">visites de suivi</w:t>
            </w:r>
          </w:p>
        </w:tc>
      </w:tr>
    </w:tbl>
    <w:p>
      <w:pPr>
        <w:pStyle w:val="Heading2"/>
      </w:pPr>
      <w:bookmarkStart w:id="4" w:name="_Toc4"/>
      <w:r>
        <w:t>Constats</w:t>
      </w:r>
      <w:bookmarkEnd w:id="4"/>
    </w:p>
    <w:p>
      <w:pPr>
        <w:numPr>
          <w:ilvl w:val="0"/>
          <w:numId w:val="3"/>
        </w:numPr>
      </w:pPr>
      <w:r>
        <w:rPr/>
        <w:t xml:space="preserve">« Financement de la santé et fonds publics » est le domaine le plus signalé : 1 problèmes, soit 100 % du total.</w:t>
      </w:r>
    </w:p>
    <w:p>
      <w:pPr>
        <w:numPr>
          <w:ilvl w:val="0"/>
          <w:numId w:val="3"/>
        </w:numPr>
      </w:pPr>
      <w:r>
        <w:rPr/>
        <w:t xml:space="preserve">0 % des problèmes signalés ont été corrigés ou résolus (0 sur 1).</w:t>
      </w:r>
    </w:p>
    <w:p>
      <w:pPr>
        <w:pStyle w:val="Heading2"/>
      </w:pPr>
      <w:bookmarkStart w:id="5" w:name="_Toc5"/>
      <w:r>
        <w:t>Problèmes par domaine</w:t>
      </w:r>
      <w:bookmarkEnd w:id="5"/>
    </w:p>
    <w:p>
      <w:r>
        <w:drawing>
          <wp:inline>
            <wp:extent cx="612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
        <w:br w:type="page"/>
      </w:r>
    </w:p>
    <w:p>
      <w:pPr>
        <w:pStyle w:val="Heading1"/>
      </w:pPr>
      <w:bookmarkStart w:id="6" w:name="_Toc6"/>
      <w:r>
        <w:t>5. Analyse statistique par catégorie</w:t>
      </w:r>
      <w:bookmarkEnd w:id="6"/>
    </w:p>
    <w:p>
      <w:pPr>
        <w:jc w:val="both"/>
        <w:spacing w:after="120"/>
      </w:pPr>
      <w:r>
        <w:rPr/>
        <w:t xml:space="preserve">Pour chaque domaine : nombre de problèmes signalés, part du total, taux de résolution, délai médian de correction, problèmes les plus fréquents et mécanismes qui ont permis de les résoudre.</w:t>
      </w:r>
    </w:p>
    <w:p>
      <w:pPr>
        <w:pStyle w:val="Heading2"/>
      </w:pPr>
      <w:bookmarkStart w:id="7" w:name="_Toc7"/>
      <w:r>
        <w:t>Financement de la santé et fonds publics</w:t>
      </w:r>
      <w:bookmarkEnd w:id="7"/>
    </w:p>
    <w:tbl>
      <w:tblGrid>
        <w:gridCol w:w="2409.4488188976375" w:type="dxa"/>
        <w:gridCol w:w="2409.4488188976375" w:type="dxa"/>
        <w:gridCol w:w="2409.4488188976375" w:type="dxa"/>
        <w:gridCol w:w="2409.4488188976375" w:type="dxa"/>
      </w:tblGrid>
      <w:tblPr>
        <w:tblW w:w="0" w:type="auto"/>
        <w:tblLayout w:type="autofit"/>
        <w:tblCellMar>
          <w:top w:w="80" w:type="dxa"/>
          <w:left w:w="80" w:type="dxa"/>
          <w:right w:w="80" w:type="dxa"/>
          <w:bottom w:w="80" w:type="dxa"/>
        </w:tblCellMar>
      </w:tblPr>
      <w:tr>
        <w:trPr/>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1</w:t>
            </w:r>
          </w:p>
          <w:p>
            <w:pPr>
              <w:jc w:val="center"/>
            </w:pPr>
            <w:r>
              <w:rPr>
                <w:sz w:val="16"/>
                <w:szCs w:val="16"/>
              </w:rPr>
              <w:t xml:space="preserve">Signalés</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100 %</w:t>
            </w:r>
          </w:p>
          <w:p>
            <w:pPr>
              <w:jc w:val="center"/>
            </w:pPr>
            <w:r>
              <w:rPr>
                <w:sz w:val="16"/>
                <w:szCs w:val="16"/>
              </w:rPr>
              <w:t xml:space="preserve">Part du total</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0 %</w:t>
            </w:r>
          </w:p>
          <w:p>
            <w:pPr>
              <w:jc w:val="center"/>
            </w:pPr>
            <w:r>
              <w:rPr>
                <w:sz w:val="16"/>
                <w:szCs w:val="16"/>
              </w:rPr>
              <w:t xml:space="preserve">Taux de résolution</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w:t>
            </w:r>
          </w:p>
          <w:p>
            <w:pPr>
              <w:jc w:val="center"/>
            </w:pPr>
            <w:r>
              <w:rPr>
                <w:sz w:val="16"/>
                <w:szCs w:val="16"/>
              </w:rPr>
              <w:t xml:space="preserve">Délai médian (jours)</w:t>
            </w:r>
          </w:p>
        </w:tc>
      </w:tr>
    </w:tbl>
    <w:tbl>
      <w:tblGrid>
        <w:gridCol w:w="4818.897637795275" w:type="dxa"/>
        <w:gridCol w:w="4818.897637795275" w:type="dxa"/>
      </w:tblGrid>
      <w:tblPr>
        <w:tblW w:w="0" w:type="auto"/>
        <w:tblLayout w:type="autofit"/>
        <w:tblCellMar>
          <w:top w:w="60" w:type="dxa"/>
          <w:left w:w="60" w:type="dxa"/>
          <w:right w:w="60" w:type="dxa"/>
          <w:bottom w:w="60" w:type="dxa"/>
        </w:tblCellMar>
      </w:tblPr>
      <w:tr>
        <w:trPr/>
        <w:tc>
          <w:tcPr>
            <w:tcW w:w="4818.897637795275" w:type="dxa"/>
            <w:noWrap/>
          </w:tcPr>
          <w:p>
            <w:pPr/>
            <w:r>
              <w:rPr>
                <w:sz w:val="19"/>
                <w:szCs w:val="19"/>
                <w:b w:val="1"/>
                <w:bCs w:val="1"/>
              </w:rPr>
              <w:t xml:space="preserve">Problèmes les plus fréquents</w:t>
            </w:r>
          </w:p>
          <w:p>
            <w:pPr>
              <w:numPr>
                <w:ilvl w:val="0"/>
                <w:numId w:val="3"/>
              </w:numPr>
            </w:pPr>
            <w:r>
              <w:rPr>
                <w:sz w:val="19"/>
                <w:szCs w:val="19"/>
              </w:rPr>
              <w:t xml:space="preserve">Fonds d’urgence non retracés dans la riposte contre Ebola (1)</w:t>
            </w:r>
          </w:p>
        </w:tc>
        <w:tc>
          <w:tcPr>
            <w:tcW w:w="4818.897637795275" w:type="dxa"/>
            <w:noWrap/>
          </w:tcPr>
          <w:p>
            <w:pPr/>
            <w:r>
              <w:rPr>
                <w:sz w:val="19"/>
                <w:szCs w:val="19"/>
                <w:b w:val="1"/>
                <w:bCs w:val="1"/>
              </w:rPr>
              <w:t xml:space="preserve">Mécanismes de résolution les plus efficaces</w:t>
            </w:r>
          </w:p>
          <w:p>
            <w:pPr>
              <w:numPr>
                <w:ilvl w:val="0"/>
                <w:numId w:val="3"/>
              </w:numPr>
            </w:pPr>
            <w:r>
              <w:rPr>
                <w:sz w:val="19"/>
                <w:szCs w:val="19"/>
              </w:rPr>
              <w:t xml:space="preserve">—</w:t>
            </w:r>
          </w:p>
        </w:tc>
      </w:tr>
    </w:tbl>
    <w:p>
      <w:r>
        <w:br w:type="page"/>
      </w:r>
    </w:p>
    <w:p>
      <w:pPr>
        <w:pStyle w:val="Heading1"/>
      </w:pPr>
      <w:bookmarkStart w:id="8" w:name="_Toc8"/>
      <w:r>
        <w:t>6. Analyses complémentaires</w:t>
      </w:r>
      <w:bookmarkEnd w:id="8"/>
    </w:p>
    <w:p>
      <w:pPr>
        <w:pStyle w:val="Heading2"/>
      </w:pPr>
      <w:bookmarkStart w:id="9" w:name="_Toc9"/>
      <w:r>
        <w:t>État des problèmes</w:t>
      </w:r>
      <w:bookmarkEnd w:id="9"/>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Heading2"/>
      </w:pPr>
      <w:bookmarkStart w:id="10" w:name="_Toc10"/>
      <w:r>
        <w:t>Signalés et corrigés par mois</w:t>
      </w:r>
      <w:bookmarkEnd w:id="10"/>
    </w:p>
    <w:p>
      <w:r>
        <w:drawing>
          <wp:inline>
            <wp:extent cx="6120000" cy="2520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Heading2"/>
      </w:pPr>
      <w:bookmarkStart w:id="11" w:name="_Toc11"/>
      <w:r>
        <w:t>Qui surveille ?</w:t>
      </w:r>
      <w:bookmarkEnd w:id="11"/>
    </w:p>
    <w:p>
      <w:r>
        <w:drawing>
          <wp:inline>
            <wp:extent cx="6120000" cy="2700000"/>
            <wp:docPr id="15" name="Chart15"/>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
        <w:rPr/>
        <w:t xml:space="preserve">Femmes : 0 % · Hommes : 0 % · Personnes vivant avec un handicap : moins de 5 · Personnes LGBTQI : moins de 5</w:t>
      </w:r>
    </w:p>
    <w:p>
      <w:r>
        <w:br w:type="page"/>
      </w:r>
    </w:p>
    <w:p>
      <w:pPr>
        <w:pStyle w:val="Heading1"/>
      </w:pPr>
      <w:bookmarkStart w:id="12" w:name="_Toc12"/>
      <w:r>
        <w:t>7. Recommandations</w:t>
      </w:r>
      <w:bookmarkEnd w:id="12"/>
    </w:p>
    <w:p>
      <w:pPr>
        <w:jc w:val="both"/>
        <w:spacing w:after="120"/>
      </w:pPr>
      <w:r>
        <w:rPr>
          <w:color w:val="0F766E"/>
          <w:b w:val="1"/>
          <w:bCs w:val="1"/>
        </w:rPr>
        <w:t xml:space="preserve">1. Suivi citoyen — </w:t>
      </w:r>
      <w:r>
        <w:rPr/>
        <w:t xml:space="preserve">Étendre les comités de santé formés par le CERC à chaque aire de santé, et poursuivre le dialogue avec les responsables des structures et la zone de santé jusqu’à la vérification sur place de chaque problème.</w:t>
      </w:r>
    </w:p>
    <w:p>
      <w:pPr>
        <w:sectPr>
          <w:headerReference w:type="default" r:id="rId9"/>
          <w:footerReference w:type="default" r:id="rId10"/>
          <w:pgSz w:orient="portrait" w:w="11905.511811023622" w:h="16837.79527559055"/>
          <w:pgMar w:top="1360.6299212598426" w:right="1133.8582677165352" w:bottom="1133.8582677165352" w:left="1133.8582677165352" w:header="720" w:footer="720" w:gutter="0"/>
          <w:cols w:num="1" w:space="720"/>
        </w:sectPr>
      </w:pPr>
    </w:p>
    <w:p>
      <w:pPr>
        <w:pStyle w:val="Heading1"/>
      </w:pPr>
      <w:bookmarkStart w:id="13" w:name="_Toc13"/>
      <w:r>
        <w:t>8. Lettre au Ministre de la Santé</w:t>
      </w:r>
      <w:bookmarkEnd w:id="13"/>
    </w:p>
    <w:p>
      <w:pPr>
        <w:jc w:val="right"/>
        <w:spacing w:after="0"/>
      </w:pPr>
      <w:r>
        <w:rPr/>
        <w:t xml:space="preserve">Kinshasa, le 1 novembre 2026</w:t>
      </w:r>
    </w:p>
    <w:p>
      <w:pPr>
        <w:jc w:val="right"/>
      </w:pPr>
      <w:r>
        <w:rPr>
          <w:sz w:val="18"/>
          <w:szCs w:val="18"/>
        </w:rPr>
        <w:t xml:space="preserve">N/Réf. : CERC/HC/2026/____</w:t>
      </w:r>
    </w:p>
    <w:p/>
    <w:p>
      <w:pPr>
        <w:ind w:left="4818.897637795275" w:right="0" w:firstLine="0" w:hanging="0"/>
        <w:spacing w:after="0"/>
      </w:pPr>
      <w:r>
        <w:rPr>
          <w:b w:val="1"/>
          <w:bCs w:val="1"/>
        </w:rPr>
        <w:t xml:space="preserve">À Son Excellence Monsieur le Ministre de la Santé publique, Hygiène et Prévoyance sociale</w:t>
      </w:r>
    </w:p>
    <w:p>
      <w:pPr>
        <w:ind w:left="4818.897637795275" w:right="0" w:firstLine="0" w:hanging="0"/>
        <w:spacing w:after="0"/>
      </w:pPr>
      <w:r>
        <w:rPr>
          <w:b w:val="0"/>
          <w:bCs w:val="0"/>
        </w:rPr>
        <w:t xml:space="preserve">Ministère de la Santé publique, Hygiène et Prévoyance sociale</w:t>
      </w:r>
    </w:p>
    <w:p>
      <w:pPr>
        <w:ind w:left="4818.897637795275" w:right="0" w:firstLine="0" w:hanging="0"/>
        <w:spacing w:after="0"/>
      </w:pPr>
      <w:r>
        <w:rPr>
          <w:b w:val="0"/>
          <w:bCs w:val="0"/>
        </w:rPr>
        <w:t xml:space="preserve">Kinshasa / Gombe</w:t>
      </w:r>
    </w:p>
    <w:p>
      <w:pPr>
        <w:ind w:left="4818.897637795275" w:right="0" w:firstLine="0" w:hanging="0"/>
        <w:spacing w:after="0"/>
      </w:pPr>
      <w:r>
        <w:rPr>
          <w:b w:val="0"/>
          <w:bCs w:val="0"/>
        </w:rPr>
        <w:t xml:space="preserve">République démocratique du Congo</w:t>
      </w:r>
    </w:p>
    <w:p/>
    <w:p>
      <w:pPr/>
      <w:r>
        <w:rPr>
          <w:b w:val="1"/>
          <w:bCs w:val="1"/>
          <w:u w:val="single"/>
        </w:rPr>
        <w:t xml:space="preserve">Objet : Transmission du rapport de suivi citoyen des structures de santé (HealthCheck) et recommandations</w:t>
      </w:r>
    </w:p>
    <w:p/>
    <w:p>
      <w:pPr>
        <w:jc w:val="both"/>
        <w:spacing w:after="120"/>
      </w:pPr>
      <w:r>
        <w:rPr/>
        <w:t xml:space="preserve">Excellence Monsieur le Ministre,</w:t>
      </w:r>
    </w:p>
    <w:p>
      <w:pPr>
        <w:jc w:val="both"/>
        <w:spacing w:after="120"/>
      </w:pPr>
      <w:r>
        <w:rPr/>
        <w:t xml:space="preserve">Le Centre de Recherche sur l’Anti-Corruption (CERC) a l’honneur de vous transmettre le rapport de suivi citoyen des structures de santé réalisé à travers la plateforme HealthCheck (Toutes les provinces, toute la période).</w:t>
      </w:r>
    </w:p>
    <w:p>
      <w:pPr>
        <w:jc w:val="both"/>
        <w:spacing w:after="120"/>
      </w:pPr>
      <w:r>
        <w:rPr/>
        <w:t xml:space="preserve">Dans les 0 structures de santé suivies, les comités de santé formés par le CERC, appuyés par 2 moniteurs, ont signalé 1 problèmes vérifiés. 0 % des problèmes ont déjà été corrigés ou résolus, avec un délai médian de — jours, grâce au dialogue avec les responsables des structures et des zones de santé.</w:t>
      </w:r>
    </w:p>
    <w:p>
      <w:pPr>
        <w:jc w:val="both"/>
        <w:spacing w:after="120"/>
      </w:pPr>
      <w:r>
        <w:rPr/>
        <w:t xml:space="preserve">Les domaines les plus signalés sont : Financement de la santé et fonds publics. Ces problèmes touchent directement l’accès des populations à des soins de qualité, en particulier des femmes, des enfants et des ménages les plus pauvres.</w:t>
      </w:r>
    </w:p>
    <w:p>
      <w:pPr>
        <w:jc w:val="both"/>
        <w:spacing w:after="120"/>
      </w:pPr>
      <w:r>
        <w:rPr/>
        <w:t xml:space="preserve">Au vu de ces constats, le CERC recommande respectueusement à votre Ministère de :</w:t>
      </w:r>
    </w:p>
    <w:p>
      <w:pPr>
        <w:jc w:val="both"/>
        <w:ind w:left="453.54330708661416" w:right="0" w:firstLine="0" w:hanging="0"/>
        <w:spacing w:after="80"/>
      </w:pPr>
      <w:r>
        <w:rPr/>
        <w:t xml:space="preserve">1. Étendre les comités de santé formés par le CERC à chaque aire de santé, et poursuivre le dialogue avec les responsables des structures et la zone de santé jusqu’à la vérification sur place de chaque problème.</w:t>
      </w:r>
    </w:p>
    <w:p>
      <w:pPr>
        <w:jc w:val="both"/>
        <w:spacing w:after="120"/>
      </w:pPr>
      <w:r>
        <w:rPr/>
        <w:t xml:space="preserve">Le CERC se tient à votre disposition pour présenter ces résultats à vos services, partager les données détaillées par province et par zone de santé, et contribuer au suivi des mesures qui seront prises.</w:t>
      </w:r>
    </w:p>
    <w:p>
      <w:pPr>
        <w:jc w:val="both"/>
        <w:spacing w:after="120"/>
      </w:pPr>
      <w:r>
        <w:rPr/>
        <w:t xml:space="preserve">Nous vous prions d’agréer, Excellence Monsieur le Ministre, l’expression de notre très haute considération.</w:t>
      </w:r>
    </w:p>
    <w:p/>
    <w:p>
      <w:pPr>
        <w:ind w:left="4818.897637795275" w:right="0" w:firstLine="0" w:hanging="0"/>
        <w:spacing w:after="0"/>
      </w:pPr>
      <w:r>
        <w:rPr>
          <w:b w:val="0"/>
          <w:bCs w:val="0"/>
        </w:rPr>
        <w:t xml:space="preserve">Pour le Centre de Recherche sur l’Anti-Corruption</w:t>
      </w:r>
    </w:p>
    <w:p>
      <w:pPr>
        <w:ind w:left="4818.897637795275" w:right="0" w:firstLine="0" w:hanging="0"/>
        <w:spacing w:after="0"/>
      </w:pPr>
      <w:r>
        <w:rPr>
          <w:b w:val="0"/>
          <w:bCs w:val="0"/>
        </w:rPr>
        <w:t xml:space="preserve">Le Directeur exécutif</w:t>
      </w:r>
    </w:p>
    <w:p>
      <w:pPr>
        <w:ind w:left="4818.897637795275" w:right="0" w:firstLine="0" w:hanging="0"/>
        <w:spacing w:after="0"/>
      </w:pPr>
      <w:r>
        <w:rPr>
          <w:b w:val="1"/>
          <w:bCs w:val="1"/>
        </w:rPr>
        <w:t xml:space="preserve">Heri Bitamala</w:t>
      </w:r>
    </w:p>
    <w:p/>
    <w:p/>
    <w:p>
      <w:pPr/>
      <w:r>
        <w:rPr>
          <w:color w:val="4B5563"/>
          <w:sz w:val="16"/>
          <w:szCs w:val="16"/>
        </w:rPr>
        <w:t xml:space="preserve">Copie pour information : Secrétariat général à la Santé ; Inspection générale de la Santé ; Divisions provinciales de la Santé concernées ; Partenaires techniques et financiers.</w:t>
      </w:r>
    </w:p>
    <w:p>
      <w:pPr/>
      <w:r>
        <w:rPr>
          <w:color w:val="B7791F"/>
          <w:sz w:val="16"/>
          <w:szCs w:val="16"/>
          <w:i w:val="1"/>
          <w:iCs w:val="1"/>
        </w:rPr>
        <w:t xml:space="preserve">Modèle de lettre à adapter et à signer par le CERC avant envoi.</w:t>
      </w:r>
    </w:p>
    <w:sectPr>
      <w:headerReference w:type="default" r:id="rId11"/>
      <w:pgSz w:orient="portrait" w:w="11905.511811023622" w:h="16837.79527559055"/>
      <w:pgMar w:top="1360.6299212598426"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7280"/>
        <w:sz w:val="15"/>
        <w:szCs w:val="15"/>
      </w:rPr>
      <w:t xml:space="preserve">HealthCheck — un service du CERC · sante.cerc.cd · Données ouvertes, librement réutilisables.    </w:t>
    </w:r>
    <w:r>
      <w:fldChar w:fldCharType="begin"/>
    </w:r>
    <w:r>
      <w:rPr>
        <w:color w:val="6B7280"/>
        <w:sz w:val="15"/>
        <w:szCs w:val="15"/>
      </w:rPr>
      <w:instrText xml:space="preserve">PAGE</w:instrText>
    </w:r>
    <w:r>
      <w:fldChar w:fldCharType="separate"/>
    </w:r>
    <w:r>
      <w:fldChar w:fldCharType="end"/>
    </w:r>
    <w:r>
      <w:rPr>
        <w:color w:val="6B7280"/>
        <w:sz w:val="15"/>
        <w:szCs w:val="15"/>
      </w:rPr>
      <w:t xml:space="preserve"> / </w:t>
    </w:r>
    <w:r>
      <w:fldChar w:fldCharType="begin"/>
    </w:r>
    <w:r>
      <w:rPr>
        <w:color w:val="6B7280"/>
        <w:sz w:val="15"/>
        <w:szCs w:val="15"/>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84.375pt; height:18pt; margin-left:0pt; margin-top:0pt; mso-position-horizontal:left; mso-position-vertical:top; mso-position-horizontal-relative:char; mso-position-vertical-relative:line;">
          <w10:wrap type="inline"/>
          <v:imagedata r:id="rId1" o:titl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3968.503937007874" w:type="dxa"/>
      <w:gridCol w:w="5669.291338582678" w:type="dxa"/>
    </w:tblGrid>
    <w:tr>
      <w:trPr/>
      <w:tc>
        <w:tcPr>
          <w:tcW w:w="3968.503937007874" w:type="dxa"/>
          <w:noWrap/>
        </w:tcPr>
        <w:p>
          <w:pPr/>
          <w:r>
            <w:pict>
              <v:shape type="#_x0000_t75" stroked="f" style="width:129.89690721649pt; height:42pt; margin-left:0pt; margin-top:0pt; mso-position-horizontal:left; mso-position-vertical:top; mso-position-horizontal-relative:char; mso-position-vertical-relative:line;">
                <w10:wrap type="inline"/>
                <v:imagedata r:id="rId1" o:title=""/>
              </v:shape>
            </w:pict>
          </w:r>
        </w:p>
      </w:tc>
      <w:tc>
        <w:tcPr>
          <w:tcW w:w="5669.291338582678" w:type="dxa"/>
          <w:noWrap/>
        </w:tcPr>
        <w:p>
          <w:pPr>
            <w:jc w:val="right"/>
            <w:spacing w:after="0"/>
          </w:pPr>
          <w:r>
            <w:rPr>
              <w:color w:val="0F3B38"/>
              <w:sz w:val="18"/>
              <w:szCs w:val="18"/>
              <w:b w:val="1"/>
              <w:bCs w:val="1"/>
            </w:rPr>
            <w:t xml:space="preserve">Centre de Recherche sur l’Anti-Corruption (CERC)</w:t>
          </w:r>
        </w:p>
        <w:p>
          <w:pPr>
            <w:jc w:val="right"/>
            <w:spacing w:after="0"/>
          </w:pPr>
          <w:r>
            <w:rPr>
              <w:color w:val="4B5563"/>
              <w:sz w:val="15"/>
              <w:szCs w:val="15"/>
              <w:b w:val="0"/>
              <w:bCs w:val="0"/>
            </w:rPr>
            <w:t xml:space="preserve">Kinshasa : 32, Avenue CPA, Quartier CPA Mushi, Commune de Mont-Ngafula · Bukavu</w:t>
          </w:r>
        </w:p>
        <w:p>
          <w:pPr>
            <w:jc w:val="right"/>
            <w:spacing w:after="0"/>
          </w:pPr>
          <w:r>
            <w:rPr>
              <w:color w:val="4B5563"/>
              <w:sz w:val="15"/>
              <w:szCs w:val="15"/>
              <w:b w:val="0"/>
              <w:bCs w:val="0"/>
            </w:rPr>
            <w:t xml:space="preserve">info@cerc.cd · www.cerc.cd · sante.cerc.cd</w:t>
          </w:r>
        </w:p>
      </w:tc>
    </w:tr>
  </w:tbl>
  <w:p>
    <w:pPr>
      <w:pBdr>
        <w:bottom w:val="single" w:sz="18" w:color="0F766E"/>
      </w:pBdr>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79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40" w:after="160"/>
      <w:pBdr>
        <w:bottom w:val="single" w:sz="12" w:color="ECA327"/>
      </w:pBdr>
    </w:pPr>
    <w:rPr>
      <w:color w:val="0F3B38"/>
      <w:sz w:val="32"/>
      <w:szCs w:val="32"/>
      <w:b w:val="1"/>
      <w:bCs w:val="1"/>
    </w:rPr>
  </w:style>
  <w:style w:type="paragraph" w:styleId="Heading2">
    <w:link w:val="Heading2Char"/>
    <w:name w:val="heading 2"/>
    <w:basedOn w:val="Normal"/>
    <w:pPr>
      <w:spacing w:before="200" w:after="80"/>
    </w:pPr>
    <w:rPr>
      <w:color w:val="0F766E"/>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eader" Target="header4.xml"/><Relationship Id="rId10" Type="http://schemas.openxmlformats.org/officeDocument/2006/relationships/footer" Target="footer4.xml"/><Relationship Id="rId11" Type="http://schemas.openxmlformats.org/officeDocument/2006/relationships/header" Target="header7.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s>
</file>

<file path=word/_rels/header4.xml.rels><?xml version="1.0" encoding="UTF-8" standalone="yes"?>
<Relationships xmlns="http://schemas.openxmlformats.org/package/2006/relationships"><Relationship Id="rId1" Type="http://schemas.openxmlformats.org/officeDocument/2006/relationships/image" Target="media/header4_image1.png"/></Relationships>
</file>

<file path=word/_rels/header7.xml.rels><?xml version="1.0" encoding="UTF-8" standalone="yes"?>
<Relationships xmlns="http://schemas.openxmlformats.org/package/2006/relationships"><Relationship Id="rId1" Type="http://schemas.openxmlformats.org/officeDocument/2006/relationships/image" Target="media/header7_image1.png"/></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dLbls>
            <c:showVal val="1"/>
            <c:showCatName val="0"/>
            <c:showLegendKey val="0"/>
            <c:showSerName val="0"/>
            <c:showPercent val="0"/>
            <c:showLeaderLines val="0"/>
            <c:showBubbleSize val="0"/>
          </c:dLbls>
          <c:cat>
            <c:strLit>
              <c:ptCount val="1"/>
              <c:pt idx="0">
                <c:v>Financement de la santé et fonds publics</c:v>
              </c:pt>
            </c:strLit>
          </c:cat>
          <c:val>
            <c:numLit>
              <c:ptCount val="1"/>
              <c:pt idx="0">
                <c:v>1</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plotArea>
      <c:layout/>
      <c:pieChart>
        <c:varyColors val="1"/>
        <c:ser>
          <c:idx val="0"/>
          <c:order val="0"/>
          <c:dLbls>
            <c:showVal val="1"/>
            <c:showCatName val="0"/>
            <c:showLegendKey val="0"/>
            <c:showSerName val="0"/>
            <c:showPercent val="0"/>
            <c:showLeaderLines val="0"/>
            <c:showBubbleSize val="0"/>
          </c:dLbls>
          <c:cat>
            <c:strLit>
              <c:ptCount val="1"/>
              <c:pt idx="0">
                <c:v>Signalé</c:v>
              </c:pt>
            </c:strLit>
          </c:cat>
          <c:val>
            <c:numLit>
              <c:ptCount val="1"/>
              <c:pt idx="0">
                <c:v>1</c:v>
              </c:pt>
            </c:numLit>
          </c:val>
        </c:ser>
        <c:overlap val="100"/>
      </c:pieChart>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barChart>
        <c:varyColors val="0"/>
        <c:barDir val="col"/>
        <c:grouping val="clustered"/>
        <c:ser>
          <c:idx val="0"/>
          <c:order val="0"/>
          <c:tx>
            <c:strRef>
              <c:strCache>
                <c:ptCount val="1"/>
                <c:pt idx="0">
                  <c:v>Signalé</c:v>
                </c:pt>
              </c:strCache>
            </c:strRef>
          </c:tx>
          <c:dLbls>
            <c:showVal val="1"/>
            <c:showCatName val="1"/>
            <c:showLegendKey val="0"/>
            <c:showSerName val="0"/>
            <c:showPercent val="0"/>
            <c:showLeaderLines val="0"/>
            <c:showBubbleSize val="0"/>
          </c:dLbls>
          <c:cat>
            <c:strLit>
              <c:ptCount val="12"/>
              <c:pt idx="0">
                <c:v>Déc 2025</c:v>
              </c:pt>
              <c:pt idx="1">
                <c:v>Jan 2026</c:v>
              </c:pt>
              <c:pt idx="2">
                <c:v>Fév 2026</c:v>
              </c:pt>
              <c:pt idx="3">
                <c:v>Mar 2026</c:v>
              </c:pt>
              <c:pt idx="4">
                <c:v>Avr 2026</c:v>
              </c:pt>
              <c:pt idx="5">
                <c:v>Mai 2026</c:v>
              </c:pt>
              <c:pt idx="6">
                <c:v>Jun 2026</c:v>
              </c:pt>
              <c:pt idx="7">
                <c:v>Jul 2026</c:v>
              </c:pt>
              <c:pt idx="8">
                <c:v>Aoû 2026</c:v>
              </c:pt>
              <c:pt idx="9">
                <c:v>Sep 2026</c:v>
              </c:pt>
              <c:pt idx="10">
                <c:v>Oct 2026</c:v>
              </c:pt>
              <c:pt idx="11">
                <c:v>Nov 2026</c:v>
              </c:pt>
            </c:strLit>
          </c:cat>
          <c:val>
            <c:numLit>
              <c:ptCount val="12"/>
              <c:pt idx="0">
                <c:v>0</c:v>
              </c:pt>
              <c:pt idx="1">
                <c:v>0</c:v>
              </c:pt>
              <c:pt idx="2">
                <c:v>0</c:v>
              </c:pt>
              <c:pt idx="3">
                <c:v>0</c:v>
              </c:pt>
              <c:pt idx="4">
                <c:v>0</c:v>
              </c:pt>
              <c:pt idx="5">
                <c:v>0</c:v>
              </c:pt>
              <c:pt idx="6">
                <c:v>0</c:v>
              </c:pt>
              <c:pt idx="7">
                <c:v>0</c:v>
              </c:pt>
              <c:pt idx="8">
                <c:v>0</c:v>
              </c:pt>
              <c:pt idx="9">
                <c:v>0</c:v>
              </c:pt>
              <c:pt idx="10">
                <c:v>1</c:v>
              </c:pt>
              <c:pt idx="11">
                <c:v>0</c:v>
              </c:pt>
            </c:numLit>
          </c:val>
        </c:ser>
        <c:ser>
          <c:idx val="1"/>
          <c:order val="1"/>
          <c:tx>
            <c:strRef>
              <c:strCache>
                <c:ptCount val="1"/>
                <c:pt idx="0">
                  <c:v>Corrigé</c:v>
                </c:pt>
              </c:strCache>
            </c:strRef>
          </c:tx>
          <c:dLbls>
            <c:showVal val="1"/>
            <c:showCatName val="1"/>
            <c:showLegendKey val="0"/>
            <c:showSerName val="0"/>
            <c:showPercent val="0"/>
            <c:showLeaderLines val="0"/>
            <c:showBubbleSize val="0"/>
          </c:dLbls>
          <c:cat>
            <c:strLit>
              <c:ptCount val="12"/>
              <c:pt idx="0">
                <c:v>Déc 2025</c:v>
              </c:pt>
              <c:pt idx="1">
                <c:v>Jan 2026</c:v>
              </c:pt>
              <c:pt idx="2">
                <c:v>Fév 2026</c:v>
              </c:pt>
              <c:pt idx="3">
                <c:v>Mar 2026</c:v>
              </c:pt>
              <c:pt idx="4">
                <c:v>Avr 2026</c:v>
              </c:pt>
              <c:pt idx="5">
                <c:v>Mai 2026</c:v>
              </c:pt>
              <c:pt idx="6">
                <c:v>Jun 2026</c:v>
              </c:pt>
              <c:pt idx="7">
                <c:v>Jul 2026</c:v>
              </c:pt>
              <c:pt idx="8">
                <c:v>Aoû 2026</c:v>
              </c:pt>
              <c:pt idx="9">
                <c:v>Sep 2026</c:v>
              </c:pt>
              <c:pt idx="10">
                <c:v>Oct 2026</c:v>
              </c:pt>
              <c:pt idx="11">
                <c:v>Nov 2026</c:v>
              </c:pt>
            </c:strLit>
          </c:cat>
          <c:val>
            <c:numLit>
              <c:ptCount val="12"/>
              <c:pt idx="0">
                <c:v>0</c:v>
              </c:pt>
              <c:pt idx="1">
                <c:v>0</c:v>
              </c:pt>
              <c:pt idx="2">
                <c:v>0</c:v>
              </c:pt>
              <c:pt idx="3">
                <c:v>0</c:v>
              </c:pt>
              <c:pt idx="4">
                <c:v>0</c:v>
              </c:pt>
              <c:pt idx="5">
                <c:v>0</c:v>
              </c:pt>
              <c:pt idx="6">
                <c:v>0</c:v>
              </c:pt>
              <c:pt idx="7">
                <c:v>0</c:v>
              </c:pt>
              <c:pt idx="8">
                <c:v>0</c:v>
              </c:pt>
              <c:pt idx="9">
                <c:v>0</c:v>
              </c:pt>
              <c:pt idx="10">
                <c:v>0</c:v>
              </c:pt>
              <c:pt idx="11">
                <c:v>0</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charts/chart4.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dLbls>
            <c:showVal val="1"/>
            <c:showCatName val="0"/>
            <c:showLegendKey val="0"/>
            <c:showSerName val="0"/>
            <c:showPercent val="0"/>
            <c:showLeaderLines val="0"/>
            <c:showBubbleSize val="0"/>
          </c:dLbls>
          <c:cat>
            <c:strLit>
              <c:ptCount val="3"/>
              <c:pt idx="0">
                <c:v>Professionnels de santé</c:v>
              </c:pt>
              <c:pt idx="1">
                <c:v>Patients et aides-malades</c:v>
              </c:pt>
              <c:pt idx="2">
                <c:v>Citoyens</c:v>
              </c:pt>
            </c:strLit>
          </c:cat>
          <c:val>
            <c:numLit>
              <c:ptCount val="3"/>
              <c:pt idx="0">
                <c:v>0</c:v>
              </c:pt>
              <c:pt idx="1">
                <c:v>2</c:v>
              </c:pt>
              <c:pt idx="2">
                <c:v>0</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2026-11-01T23:25:44+00:00</dcterms:created>
  <dcterms:modified xsi:type="dcterms:W3CDTF">2026-11-01T23:25:44+00:00</dcterms:modified>
</cp:coreProperties>
</file>

<file path=docProps/custom.xml><?xml version="1.0" encoding="utf-8"?>
<Properties xmlns="http://schemas.openxmlformats.org/officeDocument/2006/custom-properties" xmlns:vt="http://schemas.openxmlformats.org/officeDocument/2006/docPropsVTypes"/>
</file>