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4535.433070866141" w:type="dxa"/>
        <w:gridCol w:w="5102.362204724409" w:type="dxa"/>
      </w:tblGrid>
      <w:tr>
        <w:trPr/>
        <w:tc>
          <w:tcPr>
            <w:tcW w:w="4535.433070866141" w:type="dxa"/>
            <w:noWrap/>
          </w:tcPr>
          <w:p>
            <w:pPr/>
            <w:r>
              <w:pict>
                <v:shape type="#_x0000_t75" stroked="f" style="width:123.71134020619pt; height:40pt; margin-left:0pt; margin-top:0pt; mso-position-horizontal:left; mso-position-vertical:top; mso-position-horizontal-relative:char; mso-position-vertical-relative:line;">
                  <w10:wrap type="inline"/>
                  <v:imagedata r:id="rId7" o:title=""/>
                </v:shape>
              </w:pict>
            </w:r>
          </w:p>
        </w:tc>
        <w:tc>
          <w:tcPr>
            <w:tcW w:w="5102.362204724409" w:type="dxa"/>
            <w:noWrap/>
          </w:tcPr>
          <w:p>
            <w:pPr>
              <w:jc w:val="right"/>
            </w:pPr>
            <w:r>
              <w:pict>
                <v:shape type="#_x0000_t75" stroked="f" style="width:159.375pt; height:34pt; margin-left:0pt; margin-top:0pt; mso-position-horizontal:left; mso-position-vertical:top; mso-position-horizontal-relative:char; mso-position-vertical-relative:line;">
                  <w10:wrap type="inline"/>
                  <v:imagedata r:id="rId8" o:title=""/>
                </v:shape>
              </w:pict>
            </w:r>
          </w:p>
        </w:tc>
      </w:tr>
    </w:tbl>
    <w:p/>
    <w:p/>
    <w:p/>
    <w:p/>
    <w:p/>
    <w:p>
      <w:pPr/>
      <w:r>
        <w:rPr>
          <w:color w:val="B7791F"/>
          <w:sz w:val="22"/>
          <w:szCs w:val="22"/>
          <w:b w:val="1"/>
          <w:bCs w:val="1"/>
          <w:smallCaps w:val="0"/>
          <w:caps w:val="1"/>
        </w:rPr>
        <w:t xml:space="preserve">HealthCheck · Toleo 2026</w:t>
      </w:r>
    </w:p>
    <w:p>
      <w:pPr/>
      <w:r>
        <w:rPr>
          <w:color w:val="0F3B38"/>
          <w:sz w:val="56"/>
          <w:szCs w:val="56"/>
          <w:b w:val="1"/>
          <w:bCs w:val="1"/>
        </w:rPr>
        <w:t xml:space="preserve">Ripoti ya ufuatiliaji wa wananchi wa vituo vya afya</w:t>
      </w:r>
    </w:p>
    <w:p>
      <w:pPr/>
      <w:r>
        <w:rPr>
          <w:color w:val="0F766E"/>
          <w:sz w:val="28"/>
          <w:szCs w:val="28"/>
        </w:rPr>
        <w:t xml:space="preserve">HealthCheck — matokeo, uchambuzi na mapendekezo</w:t>
      </w:r>
    </w:p>
    <w:p/>
    <w:p/>
    <w:p>
      <w:pPr/>
      <w:r>
        <w:rPr>
          <w:sz w:val="22"/>
          <w:szCs w:val="22"/>
        </w:rPr>
        <w:t xml:space="preserve">Wigo : Mikoa yote, kipindi chote</w:t>
      </w:r>
    </w:p>
    <w:p>
      <w:pPr/>
      <w:r>
        <w:rPr>
          <w:sz w:val="22"/>
          <w:szCs w:val="22"/>
        </w:rPr>
        <w:t xml:space="preserve">Tarehe : 2 Novemba 2026</w:t>
      </w:r>
    </w:p>
    <w:p/>
    <w:p/>
    <w:p/>
    <w:p/>
    <w:p/>
    <w:p/>
    <w:p/>
    <w:p/>
    <w:p>
      <w:pPr/>
      <w:r>
        <w:rPr>
          <w:color w:val="4B5563"/>
          <w:sz w:val="20"/>
          <w:szCs w:val="20"/>
        </w:rPr>
        <w:t xml:space="preserve">Imeandaliwa na Kituo cha Utafiti dhidi ya Rushwa (CERC)</w:t>
      </w:r>
    </w:p>
    <w:p>
      <w:pPr/>
      <w:r>
        <w:rPr>
          <w:color w:val="0F766E"/>
          <w:sz w:val="20"/>
          <w:szCs w:val="20"/>
        </w:rPr>
        <w:t xml:space="preserve">sante.cerc.cd · info@cerc.cd</w:t>
      </w:r>
    </w:p>
    <w:p>
      <w:pPr>
        <w:sectPr>
          <w:pgSz w:orient="portrait" w:w="11905.511811023622" w:h="16837.79527559055"/>
          <w:vAlign w:val="top"/>
          <w:pgMar w:top="1360.6299212598426" w:right="1133.8582677165352" w:bottom="1133.8582677165352" w:left="1133.8582677165352" w:header="720" w:footer="720" w:gutter="0"/>
          <w:cols w:num="1" w:space="720"/>
        </w:sectPr>
      </w:pPr>
    </w:p>
    <w:p>
      <w:pPr/>
      <w:r>
        <w:rPr>
          <w:color w:val="0F3B38"/>
          <w:sz w:val="36"/>
          <w:szCs w:val="36"/>
          <w:b w:val="1"/>
          <w:bCs w:val="1"/>
        </w:rPr>
        <w:t xml:space="preserve">Yaliyomo</w:t>
      </w:r>
    </w:p>
    <w:p>
      <w:pPr>
        <w:tabs>
          <w:tab w:val="right" w:leader="dot" w:pos="9062"/>
        </w:tabs>
      </w:pPr>
      <w:r>
        <w:fldChar w:fldCharType="begin"/>
      </w:r>
      <w:r>
        <w:instrText xml:space="preserve">TOC \o 1-1 \h \z \u</w:instrText>
      </w:r>
      <w:r>
        <w:fldChar w:fldCharType="separate"/>
      </w:r>
      <w:hyperlink w:anchor="_Toc0" w:history="1">
        <w:r>
          <w:rPr>
            <w:sz w:val="22"/>
            <w:szCs w:val="22"/>
          </w:rPr>
          <w:t>1. Kuhusu CERC</w:t>
        </w:r>
        <w:r>
          <w:tab/>
        </w:r>
        <w:r>
          <w:fldChar w:fldCharType="begin"/>
        </w:r>
        <w:r>
          <w:instrText xml:space="preserve">PAGEREF 0 \h</w:instrText>
        </w:r>
        <w:r>
          <w:fldChar w:fldCharType="end"/>
        </w:r>
      </w:hyperlink>
    </w:p>
    <w:p>
      <w:pPr>
        <w:tabs>
          <w:tab w:val="right" w:leader="dot" w:pos="9062"/>
        </w:tabs>
      </w:pPr>
      <w:hyperlink w:anchor="_Toc1" w:history="1">
        <w:r>
          <w:rPr>
            <w:sz w:val="22"/>
            <w:szCs w:val="22"/>
          </w:rPr>
          <w:t>2. HealthCheck</w:t>
        </w:r>
        <w:r>
          <w:tab/>
        </w:r>
        <w:r>
          <w:fldChar w:fldCharType="begin"/>
        </w:r>
        <w:r>
          <w:instrText xml:space="preserve">PAGEREF 1 \h</w:instrText>
        </w:r>
        <w:r>
          <w:fldChar w:fldCharType="end"/>
        </w:r>
      </w:hyperlink>
    </w:p>
    <w:p>
      <w:pPr>
        <w:tabs>
          <w:tab w:val="right" w:leader="dot" w:pos="9062"/>
        </w:tabs>
      </w:pPr>
      <w:hyperlink w:anchor="_Toc2" w:history="1">
        <w:r>
          <w:rPr>
            <w:sz w:val="22"/>
            <w:szCs w:val="22"/>
          </w:rPr>
          <w:t>3. Kwa nini HealthCheck ni muhimu</w:t>
        </w:r>
        <w:r>
          <w:tab/>
        </w:r>
        <w:r>
          <w:fldChar w:fldCharType="begin"/>
        </w:r>
        <w:r>
          <w:instrText xml:space="preserve">PAGEREF 2 \h</w:instrText>
        </w:r>
        <w:r>
          <w:fldChar w:fldCharType="end"/>
        </w:r>
      </w:hyperlink>
    </w:p>
    <w:p>
      <w:pPr>
        <w:tabs>
          <w:tab w:val="right" w:leader="dot" w:pos="9062"/>
        </w:tabs>
      </w:pPr>
      <w:hyperlink w:anchor="_Toc3" w:history="1">
        <w:r>
          <w:rPr>
            <w:sz w:val="22"/>
            <w:szCs w:val="22"/>
          </w:rPr>
          <w:t>4. Takwimu kuu na matokeo</w:t>
        </w:r>
        <w:r>
          <w:tab/>
        </w:r>
        <w:r>
          <w:fldChar w:fldCharType="begin"/>
        </w:r>
        <w:r>
          <w:instrText xml:space="preserve">PAGEREF 3 \h</w:instrText>
        </w:r>
        <w:r>
          <w:fldChar w:fldCharType="end"/>
        </w:r>
      </w:hyperlink>
    </w:p>
    <w:p>
      <w:pPr>
        <w:tabs>
          <w:tab w:val="right" w:leader="dot" w:pos="9062"/>
        </w:tabs>
      </w:pPr>
      <w:hyperlink w:anchor="_Toc6" w:history="1">
        <w:r>
          <w:rPr>
            <w:sz w:val="22"/>
            <w:szCs w:val="22"/>
          </w:rPr>
          <w:t>5. Uchambuzi wa takwimu kwa aina</w:t>
        </w:r>
        <w:r>
          <w:tab/>
        </w:r>
        <w:r>
          <w:fldChar w:fldCharType="begin"/>
        </w:r>
        <w:r>
          <w:instrText xml:space="preserve">PAGEREF 6 \h</w:instrText>
        </w:r>
        <w:r>
          <w:fldChar w:fldCharType="end"/>
        </w:r>
      </w:hyperlink>
    </w:p>
    <w:p>
      <w:pPr>
        <w:tabs>
          <w:tab w:val="right" w:leader="dot" w:pos="9062"/>
        </w:tabs>
      </w:pPr>
      <w:hyperlink w:anchor="_Toc8" w:history="1">
        <w:r>
          <w:rPr>
            <w:sz w:val="22"/>
            <w:szCs w:val="22"/>
          </w:rPr>
          <w:t>6. Uchambuzi wa ziada</w:t>
        </w:r>
        <w:r>
          <w:tab/>
        </w:r>
        <w:r>
          <w:fldChar w:fldCharType="begin"/>
        </w:r>
        <w:r>
          <w:instrText xml:space="preserve">PAGEREF 8 \h</w:instrText>
        </w:r>
        <w:r>
          <w:fldChar w:fldCharType="end"/>
        </w:r>
      </w:hyperlink>
    </w:p>
    <w:p>
      <w:pPr>
        <w:tabs>
          <w:tab w:val="right" w:leader="dot" w:pos="9062"/>
        </w:tabs>
      </w:pPr>
      <w:hyperlink w:anchor="_Toc12" w:history="1">
        <w:r>
          <w:rPr>
            <w:sz w:val="22"/>
            <w:szCs w:val="22"/>
          </w:rPr>
          <w:t>7. Mapendekezo</w:t>
        </w:r>
        <w:r>
          <w:tab/>
        </w:r>
        <w:r>
          <w:fldChar w:fldCharType="begin"/>
        </w:r>
        <w:r>
          <w:instrText xml:space="preserve">PAGEREF 12 \h</w:instrText>
        </w:r>
        <w:r>
          <w:fldChar w:fldCharType="end"/>
        </w:r>
      </w:hyperlink>
    </w:p>
    <w:p>
      <w:pPr>
        <w:tabs>
          <w:tab w:val="right" w:leader="dot" w:pos="9062"/>
        </w:tabs>
      </w:pPr>
      <w:hyperlink w:anchor="_Toc13" w:history="1">
        <w:r>
          <w:rPr>
            <w:sz w:val="22"/>
            <w:szCs w:val="22"/>
          </w:rPr>
          <w:t>8. Barua kwa Waziri wa Afya</w:t>
        </w:r>
        <w:r>
          <w:tab/>
        </w:r>
        <w:r>
          <w:fldChar w:fldCharType="begin"/>
        </w:r>
        <w:r>
          <w:instrText xml:space="preserve">PAGEREF 13 \h</w:instrText>
        </w:r>
        <w:r>
          <w:fldChar w:fldCharType="end"/>
        </w:r>
      </w:hyperlink>
    </w:p>
    <w:p>
      <w:r>
        <w:fldChar w:fldCharType="end"/>
      </w:r>
    </w:p>
    <w:p>
      <w:r>
        <w:br w:type="page"/>
      </w:r>
    </w:p>
    <w:p>
      <w:pPr>
        <w:pStyle w:val="Heading1"/>
      </w:pPr>
      <w:bookmarkStart w:id="0" w:name="_Toc0"/>
      <w:r>
        <w:t>1. Kuhusu CERC</w:t>
      </w:r>
      <w:bookmarkEnd w:id="0"/>
    </w:p>
    <w:p>
      <w:pPr>
        <w:jc w:val="both"/>
        <w:spacing w:after="120"/>
      </w:pPr>
      <w:r>
        <w:rPr/>
        <w:t xml:space="preserve">Kituo cha Utafiti dhidi ya Rushwa (CERC) ni shirika la Kikongo la manufaa ya umma, lenye ofisi Kinshasa na Bukavu, linalofanya kazi na wananchi kuimarisha uadilifu, uwazi na utawala bora wa huduma za umma katika Jamhuri ya Kidemokrasia ya Kongo.</w:t>
      </w:r>
    </w:p>
    <w:p>
      <w:pPr>
        <w:jc w:val="both"/>
        <w:spacing w:after="120"/>
      </w:pPr>
      <w:r>
        <w:rPr/>
        <w:t xml:space="preserve">Tangu 2017, CERC imewafunza wananchi kufuatilia huduma za umma: shule kwa EduCheck, vituo vya afya kwa HealthCheck. Mbinu yake inategemea ukweli uliothibitishwa na kuchapishwa, na mazungumzo yenye kujenga na viongozi hadi matatizo yatatuliwe.</w:t>
      </w:r>
    </w:p>
    <w:p>
      <w:pPr>
        <w:pStyle w:val="Heading1"/>
      </w:pPr>
      <w:bookmarkStart w:id="1" w:name="_Toc1"/>
      <w:r>
        <w:t>2. HealthCheck</w:t>
      </w:r>
      <w:bookmarkEnd w:id="1"/>
    </w:p>
    <w:p>
      <w:pPr>
        <w:jc w:val="both"/>
        <w:spacing w:after="120"/>
      </w:pPr>
      <w:r>
        <w:rPr/>
        <w:t xml:space="preserve">HealthCheck ni jukwaa la CERC la ufuatiliaji wa wananchi wa vituo vya afya. Katika kila eneo la afya, wanachama wa CODESA waliofunzwa na CERC huunda kamati ya afya inayotembelea mara kwa mara vituo vya afya, hospitali, kliniki, zahanati na maduka ya dawa.</w:t>
      </w:r>
    </w:p>
    <w:p>
      <w:pPr>
        <w:jc w:val="both"/>
        <w:spacing w:after="120"/>
      </w:pPr>
      <w:r>
        <w:rPr/>
        <w:t xml:space="preserve">Kamati, wagonjwa, wauguzaji wa wagonjwa na wahudumu wa afya huripoti matatizo wanayoyaona. CERC hukagua kila ripoti kabla ya kuichapisha; uongozi wa kituo hujulishwa na kuombwa kuchukua hatua; kamati huzungumza na viongozi na kuthibitisha marekebisho papo hapo. Kila hatua ni ya umma, bila kuchapisha kamwe jina la aliyeripoti wala taarifa za kitabibu za mtu binafsi.</w:t>
      </w:r>
    </w:p>
    <w:p>
      <w:pPr>
        <w:jc w:val="both"/>
        <w:spacing w:after="120"/>
      </w:pPr>
      <w:r>
        <w:rPr>
          <w:b w:val="1"/>
          <w:bCs w:val="1"/>
        </w:rPr>
        <w:t xml:space="preserve">Mbinu ya CERC — </w:t>
      </w:r>
      <w:r>
        <w:rPr/>
        <w:t xml:space="preserve">CERC hutambua na kuwafunza wanachama wa CODESA katika kila eneo la afya. Kamati yao ya afya hufuatilia vituo kwa HealthCheck, huripoti matatizo, huzungumza na viongozi wa vituo na kanda ya afya, na hukagua kila marekebisho papo hapo. Ripoti hukaguliwa na CERC kabla ya kuchapishwa; majina ya wanaoripoti hayachapishwi kamwe.</w:t>
      </w:r>
    </w:p>
    <w:p>
      <w:r>
        <w:br w:type="page"/>
      </w:r>
    </w:p>
    <w:p>
      <w:pPr>
        <w:pStyle w:val="Heading1"/>
      </w:pPr>
      <w:bookmarkStart w:id="2" w:name="_Toc2"/>
      <w:r>
        <w:t>3. Kwa nini HealthCheck ni muhimu</w:t>
      </w:r>
      <w:bookmarkEnd w:id="2"/>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Wizara ya Afya</w:t>
            </w:r>
          </w:p>
          <w:p>
            <w:pPr>
              <w:jc w:val="both"/>
            </w:pPr>
            <w:r>
              <w:rPr/>
              <w:t xml:space="preserve">Mtazamo wa wakati halisi, uliothibitishwa na wenye mahali, wa ubora wa huduma katika vituo vya afya, ili kuelekeza ukaguzi, bajeti na vipaumbele, na kupima matokeo ya mageuzi.</w:t>
            </w:r>
          </w:p>
        </w:tc>
      </w:tr>
    </w:tbl>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Mashirika yasiyo ya kiserikali na washirika</w:t>
            </w:r>
          </w:p>
          <w:p>
            <w:pPr>
              <w:jc w:val="both"/>
            </w:pPr>
            <w:r>
              <w:rPr/>
              <w:t xml:space="preserve">Ushahidi wa uwanjani wa kulenga afua, kufuatilia matumizi ya misaada na kuripoti matokeo kwa kiwango cha utatuzi kilichothibitishwa papo hapo.</w:t>
            </w:r>
          </w:p>
        </w:tc>
      </w:tr>
    </w:tbl>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Asasi za kiraia</w:t>
            </w:r>
          </w:p>
          <w:p>
            <w:pPr>
              <w:jc w:val="both"/>
            </w:pPr>
            <w:r>
              <w:rPr/>
              <w:t xml:space="preserve">Chombo cha uwajibikaji wa kijamii: takwimu huria zinazoweza kupakuliwa, za kuunga mkono utetezi na kuzungumza na mamlaka kwa msingi wa ukweli.</w:t>
            </w:r>
          </w:p>
        </w:tc>
      </w:tr>
    </w:tbl>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Wagonjwa na jamii</w:t>
            </w:r>
          </w:p>
          <w:p>
            <w:pPr>
              <w:jc w:val="both"/>
            </w:pPr>
            <w:r>
              <w:rPr/>
              <w:t xml:space="preserve">Sauti iliyolindwa ya kuripoti ada haramu, ukosefu wa dawa, mapokezi mabaya au kuzuiliwa kwa deni, na uwezo wa kufuatilia kila tatizo hadi litatuliwe.</w:t>
            </w:r>
          </w:p>
        </w:tc>
      </w:tr>
    </w:tbl>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Wahudumu wa afya</w:t>
            </w:r>
          </w:p>
          <w:p>
            <w:pPr>
              <w:jc w:val="both"/>
            </w:pPr>
            <w:r>
              <w:rPr/>
              <w:t xml:space="preserve">Njia ya kuwasilisha kasoro za mfumo — ukosefu wa dawa, vifaa vibovu, mishahara isiyolipwa — na kuonyesha hadharani marekebisho yaliyopatikana.</w:t>
            </w:r>
          </w:p>
        </w:tc>
      </w:tr>
    </w:tbl>
    <w:p/>
    <w:p>
      <w:r>
        <w:br w:type="page"/>
      </w:r>
    </w:p>
    <w:p>
      <w:pPr>
        <w:pStyle w:val="Heading1"/>
      </w:pPr>
      <w:bookmarkStart w:id="3" w:name="_Toc3"/>
      <w:r>
        <w:t>4. Takwimu kuu na matokeo</w:t>
      </w:r>
      <w:bookmarkEnd w:id="3"/>
    </w:p>
    <w:tbl>
      <w:tblGrid>
        <w:gridCol w:w="3174.8031496062986" w:type="dxa"/>
        <w:gridCol w:w="3174.8031496062986" w:type="dxa"/>
        <w:gridCol w:w="3174.8031496062986" w:type="dxa"/>
      </w:tblGrid>
      <w:tblPr>
        <w:tblW w:w="0" w:type="auto"/>
        <w:tblLayout w:type="autofit"/>
        <w:tblCellMar>
          <w:top w:w="100" w:type="dxa"/>
          <w:left w:w="100" w:type="dxa"/>
          <w:right w:w="100" w:type="dxa"/>
          <w:bottom w:w="100" w:type="dxa"/>
        </w:tblCellMar>
      </w:tblPr>
      <w:tr>
        <w:trPr/>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0</w:t>
            </w:r>
          </w:p>
          <w:p>
            <w:pPr>
              <w:jc w:val="center"/>
            </w:pPr>
            <w:r>
              <w:rPr>
                <w:sz w:val="17"/>
                <w:szCs w:val="17"/>
              </w:rPr>
              <w:t xml:space="preserve">vituo vya afya vinavyofuatiliwa</w:t>
            </w:r>
          </w:p>
        </w:tc>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2</w:t>
            </w:r>
          </w:p>
          <w:p>
            <w:pPr>
              <w:jc w:val="center"/>
            </w:pPr>
            <w:r>
              <w:rPr>
                <w:sz w:val="17"/>
                <w:szCs w:val="17"/>
              </w:rPr>
              <w:t xml:space="preserve">wafuatiliaji hai</w:t>
            </w:r>
          </w:p>
        </w:tc>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1</w:t>
            </w:r>
          </w:p>
          <w:p>
            <w:pPr>
              <w:jc w:val="center"/>
            </w:pPr>
            <w:r>
              <w:rPr>
                <w:sz w:val="17"/>
                <w:szCs w:val="17"/>
              </w:rPr>
              <w:t xml:space="preserve">matatizo yaliyoripotiwa</w:t>
            </w:r>
          </w:p>
        </w:tc>
      </w:tr>
      <w:tr>
        <w:trPr/>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0 %</w:t>
            </w:r>
          </w:p>
          <w:p>
            <w:pPr>
              <w:jc w:val="center"/>
            </w:pPr>
            <w:r>
              <w:rPr>
                <w:sz w:val="17"/>
                <w:szCs w:val="17"/>
              </w:rPr>
              <w:t xml:space="preserve">ya matatizo yamerekebishwa</w:t>
            </w:r>
          </w:p>
        </w:tc>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w:t>
            </w:r>
          </w:p>
          <w:p>
            <w:pPr>
              <w:jc w:val="center"/>
            </w:pPr>
            <w:r>
              <w:rPr>
                <w:sz w:val="17"/>
                <w:szCs w:val="17"/>
              </w:rPr>
              <w:t xml:space="preserve">siku: muda wa kati wa kurekebisha</w:t>
            </w:r>
          </w:p>
        </w:tc>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0</w:t>
            </w:r>
          </w:p>
          <w:p>
            <w:pPr>
              <w:jc w:val="center"/>
            </w:pPr>
            <w:r>
              <w:rPr>
                <w:sz w:val="17"/>
                <w:szCs w:val="17"/>
              </w:rPr>
              <w:t xml:space="preserve">ziara za ufuatiliaji</w:t>
            </w:r>
          </w:p>
        </w:tc>
      </w:tr>
    </w:tbl>
    <w:p>
      <w:pPr>
        <w:pStyle w:val="Heading2"/>
      </w:pPr>
      <w:bookmarkStart w:id="4" w:name="_Toc4"/>
      <w:r>
        <w:t>Matokeo</w:t>
      </w:r>
      <w:bookmarkEnd w:id="4"/>
    </w:p>
    <w:p>
      <w:pPr>
        <w:numPr>
          <w:ilvl w:val="0"/>
          <w:numId w:val="3"/>
        </w:numPr>
      </w:pPr>
      <w:r>
        <w:rPr/>
        <w:t xml:space="preserve">« Ufadhili wa afya na fedha za umma » ndilo eneo lililoripotiwa zaidi: matatizo 1, 100 % ya jumla.</w:t>
      </w:r>
    </w:p>
    <w:p>
      <w:pPr>
        <w:numPr>
          <w:ilvl w:val="0"/>
          <w:numId w:val="3"/>
        </w:numPr>
      </w:pPr>
      <w:r>
        <w:rPr/>
        <w:t xml:space="preserve">0 % ya matatizo yaliyoripotiwa yamerekebishwa au kutatuliwa (0 kati ya 1).</w:t>
      </w:r>
    </w:p>
    <w:p>
      <w:pPr>
        <w:pStyle w:val="Heading2"/>
      </w:pPr>
      <w:bookmarkStart w:id="5" w:name="_Toc5"/>
      <w:r>
        <w:t>Matatizo kwa eneo</w:t>
      </w:r>
      <w:bookmarkEnd w:id="5"/>
    </w:p>
    <w:p>
      <w:r>
        <w:drawing>
          <wp:inline>
            <wp:extent cx="6120000" cy="2700000"/>
            <wp:docPr id="12" name="Chart12"/>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
        <w:br w:type="page"/>
      </w:r>
    </w:p>
    <w:p>
      <w:pPr>
        <w:pStyle w:val="Heading1"/>
      </w:pPr>
      <w:bookmarkStart w:id="6" w:name="_Toc6"/>
      <w:r>
        <w:t>5. Uchambuzi wa takwimu kwa aina</w:t>
      </w:r>
      <w:bookmarkEnd w:id="6"/>
    </w:p>
    <w:p>
      <w:pPr>
        <w:jc w:val="both"/>
        <w:spacing w:after="120"/>
      </w:pPr>
      <w:r>
        <w:rPr/>
        <w:t xml:space="preserve">Kwa kila eneo: matatizo yaliyoripotiwa, sehemu ya jumla, kiwango cha utatuzi, muda wa kati wa kurekebisha, matatizo yanayojitokeza zaidi na taratibu zilizoyatatua.</w:t>
      </w:r>
    </w:p>
    <w:p>
      <w:pPr>
        <w:pStyle w:val="Heading2"/>
      </w:pPr>
      <w:bookmarkStart w:id="7" w:name="_Toc7"/>
      <w:r>
        <w:t>Ufadhili wa afya na fedha za umma</w:t>
      </w:r>
      <w:bookmarkEnd w:id="7"/>
    </w:p>
    <w:tbl>
      <w:tblGrid>
        <w:gridCol w:w="2409.4488188976375" w:type="dxa"/>
        <w:gridCol w:w="2409.4488188976375" w:type="dxa"/>
        <w:gridCol w:w="2409.4488188976375" w:type="dxa"/>
        <w:gridCol w:w="2409.4488188976375" w:type="dxa"/>
      </w:tblGrid>
      <w:tblPr>
        <w:tblW w:w="0" w:type="auto"/>
        <w:tblLayout w:type="autofit"/>
        <w:tblCellMar>
          <w:top w:w="80" w:type="dxa"/>
          <w:left w:w="80" w:type="dxa"/>
          <w:right w:w="80" w:type="dxa"/>
          <w:bottom w:w="80" w:type="dxa"/>
        </w:tblCellMar>
      </w:tblPr>
      <w:tr>
        <w:trPr/>
        <w:tc>
          <w:tcPr>
            <w:tcW w:w="2409.4488188976375" w:type="dxa"/>
            <w:tcBorders>
              <w:top w:val="single" w:sz="8" w:color="FFFFFF"/>
              <w:left w:val="single" w:sz="8" w:color="FFFFFF"/>
              <w:right w:val="single" w:sz="8" w:color="FFFFFF"/>
              <w:bottom w:val="single" w:sz="8" w:color="FFFFFF"/>
            </w:tcBorders>
            <w:shd w:val="clear" w:fill="F6FAF9"/>
            <w:noWrap/>
          </w:tcPr>
          <w:p>
            <w:pPr>
              <w:jc w:val="center"/>
            </w:pPr>
            <w:r>
              <w:rPr>
                <w:color w:val="0F766E"/>
                <w:sz w:val="28"/>
                <w:szCs w:val="28"/>
                <w:b w:val="1"/>
                <w:bCs w:val="1"/>
              </w:rPr>
              <w:t xml:space="preserve">1</w:t>
            </w:r>
          </w:p>
          <w:p>
            <w:pPr>
              <w:jc w:val="center"/>
            </w:pPr>
            <w:r>
              <w:rPr>
                <w:sz w:val="16"/>
                <w:szCs w:val="16"/>
              </w:rPr>
              <w:t xml:space="preserve">Yaliyoripotiwa</w:t>
            </w:r>
          </w:p>
        </w:tc>
        <w:tc>
          <w:tcPr>
            <w:tcW w:w="2409.4488188976375" w:type="dxa"/>
            <w:tcBorders>
              <w:top w:val="single" w:sz="8" w:color="FFFFFF"/>
              <w:left w:val="single" w:sz="8" w:color="FFFFFF"/>
              <w:right w:val="single" w:sz="8" w:color="FFFFFF"/>
              <w:bottom w:val="single" w:sz="8" w:color="FFFFFF"/>
            </w:tcBorders>
            <w:shd w:val="clear" w:fill="F6FAF9"/>
            <w:noWrap/>
          </w:tcPr>
          <w:p>
            <w:pPr>
              <w:jc w:val="center"/>
            </w:pPr>
            <w:r>
              <w:rPr>
                <w:color w:val="0F766E"/>
                <w:sz w:val="28"/>
                <w:szCs w:val="28"/>
                <w:b w:val="1"/>
                <w:bCs w:val="1"/>
              </w:rPr>
              <w:t xml:space="preserve">100 %</w:t>
            </w:r>
          </w:p>
          <w:p>
            <w:pPr>
              <w:jc w:val="center"/>
            </w:pPr>
            <w:r>
              <w:rPr>
                <w:sz w:val="16"/>
                <w:szCs w:val="16"/>
              </w:rPr>
              <w:t xml:space="preserve">Sehemu ya jumla</w:t>
            </w:r>
          </w:p>
        </w:tc>
        <w:tc>
          <w:tcPr>
            <w:tcW w:w="2409.4488188976375" w:type="dxa"/>
            <w:tcBorders>
              <w:top w:val="single" w:sz="8" w:color="FFFFFF"/>
              <w:left w:val="single" w:sz="8" w:color="FFFFFF"/>
              <w:right w:val="single" w:sz="8" w:color="FFFFFF"/>
              <w:bottom w:val="single" w:sz="8" w:color="FFFFFF"/>
            </w:tcBorders>
            <w:shd w:val="clear" w:fill="F6FAF9"/>
            <w:noWrap/>
          </w:tcPr>
          <w:p>
            <w:pPr>
              <w:jc w:val="center"/>
            </w:pPr>
            <w:r>
              <w:rPr>
                <w:color w:val="0F766E"/>
                <w:sz w:val="28"/>
                <w:szCs w:val="28"/>
                <w:b w:val="1"/>
                <w:bCs w:val="1"/>
              </w:rPr>
              <w:t xml:space="preserve">0 %</w:t>
            </w:r>
          </w:p>
          <w:p>
            <w:pPr>
              <w:jc w:val="center"/>
            </w:pPr>
            <w:r>
              <w:rPr>
                <w:sz w:val="16"/>
                <w:szCs w:val="16"/>
              </w:rPr>
              <w:t xml:space="preserve">Kiwango cha utatuzi</w:t>
            </w:r>
          </w:p>
        </w:tc>
        <w:tc>
          <w:tcPr>
            <w:tcW w:w="2409.4488188976375" w:type="dxa"/>
            <w:tcBorders>
              <w:top w:val="single" w:sz="8" w:color="FFFFFF"/>
              <w:left w:val="single" w:sz="8" w:color="FFFFFF"/>
              <w:right w:val="single" w:sz="8" w:color="FFFFFF"/>
              <w:bottom w:val="single" w:sz="8" w:color="FFFFFF"/>
            </w:tcBorders>
            <w:shd w:val="clear" w:fill="F6FAF9"/>
            <w:noWrap/>
          </w:tcPr>
          <w:p>
            <w:pPr>
              <w:jc w:val="center"/>
            </w:pPr>
            <w:r>
              <w:rPr>
                <w:color w:val="0F766E"/>
                <w:sz w:val="28"/>
                <w:szCs w:val="28"/>
                <w:b w:val="1"/>
                <w:bCs w:val="1"/>
              </w:rPr>
              <w:t xml:space="preserve">—</w:t>
            </w:r>
          </w:p>
          <w:p>
            <w:pPr>
              <w:jc w:val="center"/>
            </w:pPr>
            <w:r>
              <w:rPr>
                <w:sz w:val="16"/>
                <w:szCs w:val="16"/>
              </w:rPr>
              <w:t xml:space="preserve">Muda wa kati (siku)</w:t>
            </w:r>
          </w:p>
        </w:tc>
      </w:tr>
    </w:tbl>
    <w:tbl>
      <w:tblGrid>
        <w:gridCol w:w="4818.897637795275" w:type="dxa"/>
        <w:gridCol w:w="4818.897637795275" w:type="dxa"/>
      </w:tblGrid>
      <w:tblPr>
        <w:tblW w:w="0" w:type="auto"/>
        <w:tblLayout w:type="autofit"/>
        <w:tblCellMar>
          <w:top w:w="60" w:type="dxa"/>
          <w:left w:w="60" w:type="dxa"/>
          <w:right w:w="60" w:type="dxa"/>
          <w:bottom w:w="60" w:type="dxa"/>
        </w:tblCellMar>
      </w:tblPr>
      <w:tr>
        <w:trPr/>
        <w:tc>
          <w:tcPr>
            <w:tcW w:w="4818.897637795275" w:type="dxa"/>
            <w:noWrap/>
          </w:tcPr>
          <w:p>
            <w:pPr/>
            <w:r>
              <w:rPr>
                <w:sz w:val="19"/>
                <w:szCs w:val="19"/>
                <w:b w:val="1"/>
                <w:bCs w:val="1"/>
              </w:rPr>
              <w:t xml:space="preserve">Matatizo yanayojitokeza zaidi</w:t>
            </w:r>
          </w:p>
          <w:p>
            <w:pPr>
              <w:numPr>
                <w:ilvl w:val="0"/>
                <w:numId w:val="3"/>
              </w:numPr>
            </w:pPr>
            <w:r>
              <w:rPr>
                <w:sz w:val="19"/>
                <w:szCs w:val="19"/>
              </w:rPr>
              <w:t xml:space="preserve">Fonds d’urgence non retracés dans la riposte contre Ebola (1)</w:t>
            </w:r>
          </w:p>
        </w:tc>
        <w:tc>
          <w:tcPr>
            <w:tcW w:w="4818.897637795275" w:type="dxa"/>
            <w:noWrap/>
          </w:tcPr>
          <w:p>
            <w:pPr/>
            <w:r>
              <w:rPr>
                <w:sz w:val="19"/>
                <w:szCs w:val="19"/>
                <w:b w:val="1"/>
                <w:bCs w:val="1"/>
              </w:rPr>
              <w:t xml:space="preserve">Taratibu za utatuzi zenye ufanisi zaidi</w:t>
            </w:r>
          </w:p>
          <w:p>
            <w:pPr>
              <w:numPr>
                <w:ilvl w:val="0"/>
                <w:numId w:val="3"/>
              </w:numPr>
            </w:pPr>
            <w:r>
              <w:rPr>
                <w:sz w:val="19"/>
                <w:szCs w:val="19"/>
              </w:rPr>
              <w:t xml:space="preserve">—</w:t>
            </w:r>
          </w:p>
        </w:tc>
      </w:tr>
    </w:tbl>
    <w:p>
      <w:r>
        <w:br w:type="page"/>
      </w:r>
    </w:p>
    <w:p>
      <w:pPr>
        <w:pStyle w:val="Heading1"/>
      </w:pPr>
      <w:bookmarkStart w:id="8" w:name="_Toc8"/>
      <w:r>
        <w:t>6. Uchambuzi wa ziada</w:t>
      </w:r>
      <w:bookmarkEnd w:id="8"/>
    </w:p>
    <w:p>
      <w:pPr>
        <w:pStyle w:val="Heading2"/>
      </w:pPr>
      <w:bookmarkStart w:id="9" w:name="_Toc9"/>
      <w:r>
        <w:t>Hali ya matatizo</w:t>
      </w:r>
      <w:bookmarkEnd w:id="9"/>
    </w:p>
    <w:p>
      <w:r>
        <w:drawing>
          <wp:inline>
            <wp:extent cx="6120000" cy="2700000"/>
            <wp:docPr id="13" name="Chart13"/>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Heading2"/>
      </w:pPr>
      <w:bookmarkStart w:id="10" w:name="_Toc10"/>
      <w:r>
        <w:t>Yaliyoripotiwa na kurekebishwa kwa mwezi</w:t>
      </w:r>
      <w:bookmarkEnd w:id="10"/>
    </w:p>
    <w:p>
      <w:r>
        <w:drawing>
          <wp:inline>
            <wp:extent cx="6120000" cy="2520000"/>
            <wp:docPr id="14" name="Chart14"/>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Heading2"/>
      </w:pPr>
      <w:bookmarkStart w:id="11" w:name="_Toc11"/>
      <w:r>
        <w:t>Nani anafuatilia?</w:t>
      </w:r>
      <w:bookmarkEnd w:id="11"/>
    </w:p>
    <w:p>
      <w:r>
        <w:drawing>
          <wp:inline>
            <wp:extent cx="6120000" cy="2700000"/>
            <wp:docPr id="15" name="Chart15"/>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r>
        <w:rPr/>
        <w:t xml:space="preserve">Wanawake : 0 % · Wanaume : 0 % · Watu wanaoishi na ulemavu : chini ya 5 · Watu wa LGBTQI : chini ya 5</w:t>
      </w:r>
    </w:p>
    <w:p>
      <w:r>
        <w:br w:type="page"/>
      </w:r>
    </w:p>
    <w:p>
      <w:pPr>
        <w:pStyle w:val="Heading1"/>
      </w:pPr>
      <w:bookmarkStart w:id="12" w:name="_Toc12"/>
      <w:r>
        <w:t>7. Mapendekezo</w:t>
      </w:r>
      <w:bookmarkEnd w:id="12"/>
    </w:p>
    <w:p>
      <w:pPr>
        <w:jc w:val="both"/>
        <w:spacing w:after="120"/>
      </w:pPr>
      <w:r>
        <w:rPr>
          <w:color w:val="0F766E"/>
          <w:b w:val="1"/>
          <w:bCs w:val="1"/>
        </w:rPr>
        <w:t xml:space="preserve">1. Ufuatiliaji wa wananchi — </w:t>
      </w:r>
      <w:r>
        <w:rPr/>
        <w:t xml:space="preserve">Kupanua kamati za afya zilizofunzwa na CERC katika kila eneo la afya, na kuendeleza mazungumzo na viongozi wa vituo na kanda ya afya hadi kila tatizo lithibitishwe papo hapo.</w:t>
      </w:r>
    </w:p>
    <w:p>
      <w:pPr>
        <w:sectPr>
          <w:headerReference w:type="default" r:id="rId9"/>
          <w:footerReference w:type="default" r:id="rId10"/>
          <w:pgSz w:orient="portrait" w:w="11905.511811023622" w:h="16837.79527559055"/>
          <w:pgMar w:top="1360.6299212598426" w:right="1133.8582677165352" w:bottom="1133.8582677165352" w:left="1133.8582677165352" w:header="720" w:footer="720" w:gutter="0"/>
          <w:cols w:num="1" w:space="720"/>
        </w:sectPr>
      </w:pPr>
    </w:p>
    <w:p>
      <w:pPr>
        <w:pStyle w:val="Heading1"/>
      </w:pPr>
      <w:bookmarkStart w:id="13" w:name="_Toc13"/>
      <w:r>
        <w:t>8. Barua kwa Waziri wa Afya</w:t>
      </w:r>
      <w:bookmarkEnd w:id="13"/>
    </w:p>
    <w:p>
      <w:pPr>
        <w:jc w:val="right"/>
        <w:spacing w:after="0"/>
      </w:pPr>
      <w:r>
        <w:rPr/>
        <w:t xml:space="preserve">Kinshasa, le 2 novembre 2026</w:t>
      </w:r>
    </w:p>
    <w:p>
      <w:pPr>
        <w:jc w:val="right"/>
      </w:pPr>
      <w:r>
        <w:rPr>
          <w:sz w:val="18"/>
          <w:szCs w:val="18"/>
        </w:rPr>
        <w:t xml:space="preserve">N/Réf. : CERC/HC/2026/____</w:t>
      </w:r>
    </w:p>
    <w:p/>
    <w:p>
      <w:pPr>
        <w:ind w:left="4818.897637795275" w:right="0" w:firstLine="0" w:hanging="0"/>
        <w:spacing w:after="0"/>
      </w:pPr>
      <w:r>
        <w:rPr>
          <w:b w:val="1"/>
          <w:bCs w:val="1"/>
        </w:rPr>
        <w:t xml:space="preserve">À Son Excellence Monsieur le Ministre de la Santé publique, Hygiène et Prévoyance sociale</w:t>
      </w:r>
    </w:p>
    <w:p>
      <w:pPr>
        <w:ind w:left="4818.897637795275" w:right="0" w:firstLine="0" w:hanging="0"/>
        <w:spacing w:after="0"/>
      </w:pPr>
      <w:r>
        <w:rPr>
          <w:b w:val="0"/>
          <w:bCs w:val="0"/>
        </w:rPr>
        <w:t xml:space="preserve">Ministère de la Santé publique, Hygiène et Prévoyance sociale</w:t>
      </w:r>
    </w:p>
    <w:p>
      <w:pPr>
        <w:ind w:left="4818.897637795275" w:right="0" w:firstLine="0" w:hanging="0"/>
        <w:spacing w:after="0"/>
      </w:pPr>
      <w:r>
        <w:rPr>
          <w:b w:val="0"/>
          <w:bCs w:val="0"/>
        </w:rPr>
        <w:t xml:space="preserve">Kinshasa / Gombe</w:t>
      </w:r>
    </w:p>
    <w:p>
      <w:pPr>
        <w:ind w:left="4818.897637795275" w:right="0" w:firstLine="0" w:hanging="0"/>
        <w:spacing w:after="0"/>
      </w:pPr>
      <w:r>
        <w:rPr>
          <w:b w:val="0"/>
          <w:bCs w:val="0"/>
        </w:rPr>
        <w:t xml:space="preserve">République démocratique du Congo</w:t>
      </w:r>
    </w:p>
    <w:p/>
    <w:p>
      <w:pPr/>
      <w:r>
        <w:rPr>
          <w:b w:val="1"/>
          <w:bCs w:val="1"/>
          <w:u w:val="single"/>
        </w:rPr>
        <w:t xml:space="preserve">Objet : Transmission du rapport de suivi citoyen des structures de santé (HealthCheck) et recommandations</w:t>
      </w:r>
    </w:p>
    <w:p/>
    <w:p>
      <w:pPr>
        <w:jc w:val="both"/>
        <w:spacing w:after="120"/>
      </w:pPr>
      <w:r>
        <w:rPr/>
        <w:t xml:space="preserve">Excellence Monsieur le Ministre,</w:t>
      </w:r>
    </w:p>
    <w:p>
      <w:pPr>
        <w:jc w:val="both"/>
        <w:spacing w:after="120"/>
      </w:pPr>
      <w:r>
        <w:rPr/>
        <w:t xml:space="preserve">Le Centre de Recherche sur l’Anti-Corruption (CERC) a l’honneur de vous transmettre le rapport de suivi citoyen des structures de santé réalisé à travers la plateforme HealthCheck (Mikoa yote, kipindi chote).</w:t>
      </w:r>
    </w:p>
    <w:p>
      <w:pPr>
        <w:jc w:val="both"/>
        <w:spacing w:after="120"/>
      </w:pPr>
      <w:r>
        <w:rPr/>
        <w:t xml:space="preserve">Dans les 0 structures de santé suivies, les comités de santé formés par le CERC, appuyés par 2 moniteurs, ont signalé 1 problèmes vérifiés. 0 % des problèmes ont déjà été corrigés ou résolus, avec un délai médian de — jours, grâce au dialogue avec les responsables des structures et des zones de santé.</w:t>
      </w:r>
    </w:p>
    <w:p>
      <w:pPr>
        <w:jc w:val="both"/>
        <w:spacing w:after="120"/>
      </w:pPr>
      <w:r>
        <w:rPr/>
        <w:t xml:space="preserve">Les domaines les plus signalés sont : Ufadhili wa afya na fedha za umma. Ces problèmes touchent directement l’accès des populations à des soins de qualité, en particulier des femmes, des enfants et des ménages les plus pauvres.</w:t>
      </w:r>
    </w:p>
    <w:p>
      <w:pPr>
        <w:jc w:val="both"/>
        <w:spacing w:after="120"/>
      </w:pPr>
      <w:r>
        <w:rPr/>
        <w:t xml:space="preserve">Au vu de ces constats, le CERC recommande respectueusement à votre Ministère de :</w:t>
      </w:r>
    </w:p>
    <w:p>
      <w:pPr>
        <w:jc w:val="both"/>
        <w:ind w:left="453.54330708661416" w:right="0" w:firstLine="0" w:hanging="0"/>
        <w:spacing w:after="80"/>
      </w:pPr>
      <w:r>
        <w:rPr/>
        <w:t xml:space="preserve">1. Kupanua kamati za afya zilizofunzwa na CERC katika kila eneo la afya, na kuendeleza mazungumzo na viongozi wa vituo na kanda ya afya hadi kila tatizo lithibitishwe papo hapo.</w:t>
      </w:r>
    </w:p>
    <w:p>
      <w:pPr>
        <w:jc w:val="both"/>
        <w:spacing w:after="120"/>
      </w:pPr>
      <w:r>
        <w:rPr/>
        <w:t xml:space="preserve">Le CERC se tient à votre disposition pour présenter ces résultats à vos services, partager les données détaillées par province et par zone de santé, et contribuer au suivi des mesures qui seront prises.</w:t>
      </w:r>
    </w:p>
    <w:p>
      <w:pPr>
        <w:jc w:val="both"/>
        <w:spacing w:after="120"/>
      </w:pPr>
      <w:r>
        <w:rPr/>
        <w:t xml:space="preserve">Nous vous prions d’agréer, Excellence Monsieur le Ministre, l’expression de notre très haute considération.</w:t>
      </w:r>
    </w:p>
    <w:p/>
    <w:p>
      <w:pPr>
        <w:ind w:left="4818.897637795275" w:right="0" w:firstLine="0" w:hanging="0"/>
        <w:spacing w:after="0"/>
      </w:pPr>
      <w:r>
        <w:rPr>
          <w:b w:val="0"/>
          <w:bCs w:val="0"/>
        </w:rPr>
        <w:t xml:space="preserve">Pour le Centre de Recherche sur l’Anti-Corruption</w:t>
      </w:r>
    </w:p>
    <w:p>
      <w:pPr>
        <w:ind w:left="4818.897637795275" w:right="0" w:firstLine="0" w:hanging="0"/>
        <w:spacing w:after="0"/>
      </w:pPr>
      <w:r>
        <w:rPr>
          <w:b w:val="0"/>
          <w:bCs w:val="0"/>
        </w:rPr>
        <w:t xml:space="preserve">Le Directeur exécutif</w:t>
      </w:r>
    </w:p>
    <w:p>
      <w:pPr>
        <w:ind w:left="4818.897637795275" w:right="0" w:firstLine="0" w:hanging="0"/>
        <w:spacing w:after="0"/>
      </w:pPr>
      <w:r>
        <w:rPr>
          <w:b w:val="1"/>
          <w:bCs w:val="1"/>
        </w:rPr>
        <w:t xml:space="preserve">Heri Bitamala</w:t>
      </w:r>
    </w:p>
    <w:p/>
    <w:p/>
    <w:p>
      <w:pPr/>
      <w:r>
        <w:rPr>
          <w:color w:val="4B5563"/>
          <w:sz w:val="16"/>
          <w:szCs w:val="16"/>
        </w:rPr>
        <w:t xml:space="preserve">Copie pour information : Secrétariat général à la Santé ; Inspection générale de la Santé ; Divisions provinciales de la Santé concernées ; Partenaires techniques et financiers.</w:t>
      </w:r>
    </w:p>
    <w:p>
      <w:pPr/>
      <w:r>
        <w:rPr>
          <w:color w:val="B7791F"/>
          <w:sz w:val="16"/>
          <w:szCs w:val="16"/>
          <w:i w:val="1"/>
          <w:iCs w:val="1"/>
        </w:rPr>
        <w:t xml:space="preserve">Barua kielelezo, ya kurekebishwa na kutiwa saini na CERC kabla ya kutumwa (kwa Kifaransa, lugha rasmi ya utawala ya DRC).</w:t>
      </w:r>
    </w:p>
    <w:sectPr>
      <w:headerReference w:type="default" r:id="rId11"/>
      <w:pgSz w:orient="portrait" w:w="11905.511811023622" w:h="16837.79527559055"/>
      <w:pgMar w:top="1360.6299212598426"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B7280"/>
        <w:sz w:val="15"/>
        <w:szCs w:val="15"/>
      </w:rPr>
      <w:t xml:space="preserve">HealthCheck — huduma ya CERC · sante.cerc.cd · Takwimu huria, zinaweza kutumika tena bure.    </w:t>
    </w:r>
    <w:r>
      <w:fldChar w:fldCharType="begin"/>
    </w:r>
    <w:r>
      <w:rPr>
        <w:color w:val="6B7280"/>
        <w:sz w:val="15"/>
        <w:szCs w:val="15"/>
      </w:rPr>
      <w:instrText xml:space="preserve">PAGE</w:instrText>
    </w:r>
    <w:r>
      <w:fldChar w:fldCharType="separate"/>
    </w:r>
    <w:r>
      <w:fldChar w:fldCharType="end"/>
    </w:r>
    <w:r>
      <w:rPr>
        <w:color w:val="6B7280"/>
        <w:sz w:val="15"/>
        <w:szCs w:val="15"/>
      </w:rPr>
      <w:t xml:space="preserve"> / </w:t>
    </w:r>
    <w:r>
      <w:fldChar w:fldCharType="begin"/>
    </w:r>
    <w:r>
      <w:rPr>
        <w:color w:val="6B7280"/>
        <w:sz w:val="15"/>
        <w:szCs w:val="15"/>
      </w:rPr>
      <w:instrText xml:space="preserve">NUMPAGES</w:instrText>
    </w:r>
    <w:r>
      <w:fldChar w:fldCharType="separate"/>
    </w:r>
    <w:r>
      <w:fldChar w:fldCharType="end"/>
    </w:r>
  </w:p>
</w:ft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84.375pt; height:18pt; margin-left:0pt; margin-top:0pt; mso-position-horizontal:left; mso-position-vertical:top; mso-position-horizontal-relative:char; mso-position-vertical-relative:line;">
          <w10:wrap type="inline"/>
          <v:imagedata r:id="rId1" o:titl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3968.503937007874" w:type="dxa"/>
      <w:gridCol w:w="5669.291338582678" w:type="dxa"/>
    </w:tblGrid>
    <w:tr>
      <w:trPr/>
      <w:tc>
        <w:tcPr>
          <w:tcW w:w="3968.503937007874" w:type="dxa"/>
          <w:noWrap/>
        </w:tcPr>
        <w:p>
          <w:pPr/>
          <w:r>
            <w:pict>
              <v:shape type="#_x0000_t75" stroked="f" style="width:129.89690721649pt; height:42pt; margin-left:0pt; margin-top:0pt; mso-position-horizontal:left; mso-position-vertical:top; mso-position-horizontal-relative:char; mso-position-vertical-relative:line;">
                <w10:wrap type="inline"/>
                <v:imagedata r:id="rId1" o:title=""/>
              </v:shape>
            </w:pict>
          </w:r>
        </w:p>
      </w:tc>
      <w:tc>
        <w:tcPr>
          <w:tcW w:w="5669.291338582678" w:type="dxa"/>
          <w:noWrap/>
        </w:tcPr>
        <w:p>
          <w:pPr>
            <w:jc w:val="right"/>
            <w:spacing w:after="0"/>
          </w:pPr>
          <w:r>
            <w:rPr>
              <w:color w:val="0F3B38"/>
              <w:sz w:val="18"/>
              <w:szCs w:val="18"/>
              <w:b w:val="1"/>
              <w:bCs w:val="1"/>
            </w:rPr>
            <w:t xml:space="preserve">Centre de Recherche sur l’Anti-Corruption (CERC)</w:t>
          </w:r>
        </w:p>
        <w:p>
          <w:pPr>
            <w:jc w:val="right"/>
            <w:spacing w:after="0"/>
          </w:pPr>
          <w:r>
            <w:rPr>
              <w:color w:val="4B5563"/>
              <w:sz w:val="15"/>
              <w:szCs w:val="15"/>
              <w:b w:val="0"/>
              <w:bCs w:val="0"/>
            </w:rPr>
            <w:t xml:space="preserve">Kinshasa : 32, Avenue CPA, Quartier CPA Mushi, Commune de Mont-Ngafula · Bukavu</w:t>
          </w:r>
        </w:p>
        <w:p>
          <w:pPr>
            <w:jc w:val="right"/>
            <w:spacing w:after="0"/>
          </w:pPr>
          <w:r>
            <w:rPr>
              <w:color w:val="4B5563"/>
              <w:sz w:val="15"/>
              <w:szCs w:val="15"/>
              <w:b w:val="0"/>
              <w:bCs w:val="0"/>
            </w:rPr>
            <w:t xml:space="preserve">info@cerc.cd · www.cerc.cd · sante.cerc.cd</w:t>
          </w:r>
        </w:p>
      </w:tc>
    </w:tr>
  </w:tbl>
  <w:p>
    <w:pPr>
      <w:pBdr>
        <w:bottom w:val="single" w:sz="18" w:color="0F766E"/>
      </w:pBdr>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5776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40" w:after="160"/>
      <w:pBdr>
        <w:bottom w:val="single" w:sz="12" w:color="ECA327"/>
      </w:pBdr>
    </w:pPr>
    <w:rPr>
      <w:color w:val="0F3B38"/>
      <w:sz w:val="32"/>
      <w:szCs w:val="32"/>
      <w:b w:val="1"/>
      <w:bCs w:val="1"/>
    </w:rPr>
  </w:style>
  <w:style w:type="paragraph" w:styleId="Heading2">
    <w:link w:val="Heading2Char"/>
    <w:name w:val="heading 2"/>
    <w:basedOn w:val="Normal"/>
    <w:pPr>
      <w:spacing w:before="200" w:after="80"/>
    </w:pPr>
    <w:rPr>
      <w:color w:val="0F766E"/>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eader" Target="header4.xml"/><Relationship Id="rId10" Type="http://schemas.openxmlformats.org/officeDocument/2006/relationships/footer" Target="footer4.xml"/><Relationship Id="rId11" Type="http://schemas.openxmlformats.org/officeDocument/2006/relationships/header" Target="header7.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 Id="rId15" Type="http://schemas.openxmlformats.org/officeDocument/2006/relationships/chart" Target="charts/chart4.xml"/></Relationships>
</file>

<file path=word/_rels/header4.xml.rels><?xml version="1.0" encoding="UTF-8" standalone="yes"?>
<Relationships xmlns="http://schemas.openxmlformats.org/package/2006/relationships"><Relationship Id="rId1" Type="http://schemas.openxmlformats.org/officeDocument/2006/relationships/image" Target="media/header4_image1.png"/></Relationships>
</file>

<file path=word/_rels/header7.xml.rels><?xml version="1.0" encoding="UTF-8" standalone="yes"?>
<Relationships xmlns="http://schemas.openxmlformats.org/package/2006/relationships"><Relationship Id="rId1" Type="http://schemas.openxmlformats.org/officeDocument/2006/relationships/image" Target="media/header7_image1.png"/></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dLbls>
            <c:showVal val="1"/>
            <c:showCatName val="0"/>
            <c:showLegendKey val="0"/>
            <c:showSerName val="0"/>
            <c:showPercent val="0"/>
            <c:showLeaderLines val="0"/>
            <c:showBubbleSize val="0"/>
          </c:dLbls>
          <c:cat>
            <c:strLit>
              <c:ptCount val="1"/>
              <c:pt idx="0">
                <c:v>Ufadhili wa afya na fedha za umma</c:v>
              </c:pt>
            </c:strLit>
          </c:cat>
          <c:val>
            <c:numLit>
              <c:ptCount val="1"/>
              <c:pt idx="0">
                <c:v>1</c:v>
              </c:pt>
            </c:numLit>
          </c:val>
        </c:ser>
        <c:axId val="1"/>
        <c:axId val="2"/>
      </c:barChart>
      <c:catAx>
        <c:axId val="1"/>
        <c:axPos val="b"/>
        <c:crossAx val="2"/>
        <c:auto val="1"/>
        <c:delete val="0"/>
        <c:majorTickMark val="none"/>
        <c:minorTickMark val="none"/>
        <c:tickLblPos val="none"/>
        <c:crosses val="autoZero"/>
        <c:scaling>
          <c:orientation val="minMax"/>
        </c:scaling>
        <c:spPr>
          <a:ln>
            <a:solidFill/>
          </a:ln>
        </c:spPr>
      </c:catAx>
      <c:valAx>
        <c:axId val="2"/>
        <c:axPos val="l"/>
        <c:crossAx val="1"/>
        <c:auto val="1"/>
        <c:delete val="0"/>
        <c:majorTickMark val="none"/>
        <c:minorTickMark val="none"/>
        <c:tickLblPos val="none"/>
        <c:crosses val="autoZero"/>
        <c:scaling>
          <c:orientation val="minMax"/>
        </c:scaling>
        <c:spPr>
          <a:ln>
            <a:solidFill/>
          </a:ln>
        </c:spPr>
      </c:valAx>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plotArea>
      <c:layout/>
      <c:pieChart>
        <c:varyColors val="1"/>
        <c:ser>
          <c:idx val="0"/>
          <c:order val="0"/>
          <c:dLbls>
            <c:showVal val="1"/>
            <c:showCatName val="0"/>
            <c:showLegendKey val="0"/>
            <c:showSerName val="0"/>
            <c:showPercent val="0"/>
            <c:showLeaderLines val="0"/>
            <c:showBubbleSize val="0"/>
          </c:dLbls>
          <c:cat>
            <c:strLit>
              <c:ptCount val="1"/>
              <c:pt idx="0">
                <c:v>Imeripotiwa</c:v>
              </c:pt>
            </c:strLit>
          </c:cat>
          <c:val>
            <c:numLit>
              <c:ptCount val="1"/>
              <c:pt idx="0">
                <c:v>1</c:v>
              </c:pt>
            </c:numLit>
          </c:val>
        </c:ser>
        <c:overlap val="100"/>
      </c:pieChart>
    </c:plotArea>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c:chart>
    <c:autoTitleDeleted val="1"/>
    <c:legend>
      <c:legendPos val="r"/>
    </c:legend>
    <c:plotArea>
      <c:layout/>
      <c:barChart>
        <c:varyColors val="0"/>
        <c:barDir val="col"/>
        <c:grouping val="clustered"/>
        <c:ser>
          <c:idx val="0"/>
          <c:order val="0"/>
          <c:tx>
            <c:strRef>
              <c:strCache>
                <c:ptCount val="1"/>
                <c:pt idx="0">
                  <c:v>Imeripotiwa</c:v>
                </c:pt>
              </c:strCache>
            </c:strRef>
          </c:tx>
          <c:dLbls>
            <c:showVal val="1"/>
            <c:showCatName val="1"/>
            <c:showLegendKey val="0"/>
            <c:showSerName val="0"/>
            <c:showPercent val="0"/>
            <c:showLeaderLines val="0"/>
            <c:showBubbleSize val="0"/>
          </c:dLbls>
          <c:cat>
            <c:strLit>
              <c:ptCount val="12"/>
              <c:pt idx="0">
                <c:v>Des 2025</c:v>
              </c:pt>
              <c:pt idx="1">
                <c:v>Jan 2026</c:v>
              </c:pt>
              <c:pt idx="2">
                <c:v>Feb 2026</c:v>
              </c:pt>
              <c:pt idx="3">
                <c:v>Mac 2026</c:v>
              </c:pt>
              <c:pt idx="4">
                <c:v>Apr 2026</c:v>
              </c:pt>
              <c:pt idx="5">
                <c:v>Mei 2026</c:v>
              </c:pt>
              <c:pt idx="6">
                <c:v>Jun 2026</c:v>
              </c:pt>
              <c:pt idx="7">
                <c:v>Jul 2026</c:v>
              </c:pt>
              <c:pt idx="8">
                <c:v>Ago 2026</c:v>
              </c:pt>
              <c:pt idx="9">
                <c:v>Sep 2026</c:v>
              </c:pt>
              <c:pt idx="10">
                <c:v>Okt 2026</c:v>
              </c:pt>
              <c:pt idx="11">
                <c:v>Nov 2026</c:v>
              </c:pt>
            </c:strLit>
          </c:cat>
          <c:val>
            <c:numLit>
              <c:ptCount val="12"/>
              <c:pt idx="0">
                <c:v>0</c:v>
              </c:pt>
              <c:pt idx="1">
                <c:v>0</c:v>
              </c:pt>
              <c:pt idx="2">
                <c:v>0</c:v>
              </c:pt>
              <c:pt idx="3">
                <c:v>0</c:v>
              </c:pt>
              <c:pt idx="4">
                <c:v>0</c:v>
              </c:pt>
              <c:pt idx="5">
                <c:v>0</c:v>
              </c:pt>
              <c:pt idx="6">
                <c:v>0</c:v>
              </c:pt>
              <c:pt idx="7">
                <c:v>0</c:v>
              </c:pt>
              <c:pt idx="8">
                <c:v>0</c:v>
              </c:pt>
              <c:pt idx="9">
                <c:v>0</c:v>
              </c:pt>
              <c:pt idx="10">
                <c:v>1</c:v>
              </c:pt>
              <c:pt idx="11">
                <c:v>0</c:v>
              </c:pt>
            </c:numLit>
          </c:val>
        </c:ser>
        <c:ser>
          <c:idx val="1"/>
          <c:order val="1"/>
          <c:tx>
            <c:strRef>
              <c:strCache>
                <c:ptCount val="1"/>
                <c:pt idx="0">
                  <c:v>Limerekebishwa</c:v>
                </c:pt>
              </c:strCache>
            </c:strRef>
          </c:tx>
          <c:dLbls>
            <c:showVal val="1"/>
            <c:showCatName val="1"/>
            <c:showLegendKey val="0"/>
            <c:showSerName val="0"/>
            <c:showPercent val="0"/>
            <c:showLeaderLines val="0"/>
            <c:showBubbleSize val="0"/>
          </c:dLbls>
          <c:cat>
            <c:strLit>
              <c:ptCount val="12"/>
              <c:pt idx="0">
                <c:v>Des 2025</c:v>
              </c:pt>
              <c:pt idx="1">
                <c:v>Jan 2026</c:v>
              </c:pt>
              <c:pt idx="2">
                <c:v>Feb 2026</c:v>
              </c:pt>
              <c:pt idx="3">
                <c:v>Mac 2026</c:v>
              </c:pt>
              <c:pt idx="4">
                <c:v>Apr 2026</c:v>
              </c:pt>
              <c:pt idx="5">
                <c:v>Mei 2026</c:v>
              </c:pt>
              <c:pt idx="6">
                <c:v>Jun 2026</c:v>
              </c:pt>
              <c:pt idx="7">
                <c:v>Jul 2026</c:v>
              </c:pt>
              <c:pt idx="8">
                <c:v>Ago 2026</c:v>
              </c:pt>
              <c:pt idx="9">
                <c:v>Sep 2026</c:v>
              </c:pt>
              <c:pt idx="10">
                <c:v>Okt 2026</c:v>
              </c:pt>
              <c:pt idx="11">
                <c:v>Nov 2026</c:v>
              </c:pt>
            </c:strLit>
          </c:cat>
          <c:val>
            <c:numLit>
              <c:ptCount val="12"/>
              <c:pt idx="0">
                <c:v>0</c:v>
              </c:pt>
              <c:pt idx="1">
                <c:v>0</c:v>
              </c:pt>
              <c:pt idx="2">
                <c:v>0</c:v>
              </c:pt>
              <c:pt idx="3">
                <c:v>0</c:v>
              </c:pt>
              <c:pt idx="4">
                <c:v>0</c:v>
              </c:pt>
              <c:pt idx="5">
                <c:v>0</c:v>
              </c:pt>
              <c:pt idx="6">
                <c:v>0</c:v>
              </c:pt>
              <c:pt idx="7">
                <c:v>0</c:v>
              </c:pt>
              <c:pt idx="8">
                <c:v>0</c:v>
              </c:pt>
              <c:pt idx="9">
                <c:v>0</c:v>
              </c:pt>
              <c:pt idx="10">
                <c:v>0</c:v>
              </c:pt>
              <c:pt idx="11">
                <c:v>0</c:v>
              </c:pt>
            </c:numLit>
          </c:val>
        </c:ser>
        <c:axId val="1"/>
        <c:axId val="2"/>
      </c:barChart>
      <c:catAx>
        <c:axId val="1"/>
        <c:axPos val="b"/>
        <c:crossAx val="2"/>
        <c:auto val="1"/>
        <c:delete val="0"/>
        <c:majorTickMark val="none"/>
        <c:minorTickMark val="none"/>
        <c:tickLblPos val="none"/>
        <c:crosses val="autoZero"/>
        <c:scaling>
          <c:orientation val="minMax"/>
        </c:scaling>
        <c:spPr>
          <a:ln>
            <a:solidFill/>
          </a:ln>
        </c:spPr>
      </c:catAx>
      <c:valAx>
        <c:axId val="2"/>
        <c:axPos val="l"/>
        <c:crossAx val="1"/>
        <c:auto val="1"/>
        <c:delete val="0"/>
        <c:majorTickMark val="none"/>
        <c:minorTickMark val="none"/>
        <c:tickLblPos val="none"/>
        <c:crosses val="autoZero"/>
        <c:scaling>
          <c:orientation val="minMax"/>
        </c:scaling>
        <c:spPr>
          <a:ln>
            <a:solidFill/>
          </a:ln>
        </c:spPr>
      </c:valAx>
    </c:plotArea>
  </c:chart>
  <c:spPr>
    <a:ln>
      <a:noFill/>
    </a:ln>
  </c:spPr>
</c:chartSpace>
</file>

<file path=word/charts/chart4.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dLbls>
            <c:showVal val="1"/>
            <c:showCatName val="0"/>
            <c:showLegendKey val="0"/>
            <c:showSerName val="0"/>
            <c:showPercent val="0"/>
            <c:showLeaderLines val="0"/>
            <c:showBubbleSize val="0"/>
          </c:dLbls>
          <c:cat>
            <c:strLit>
              <c:ptCount val="3"/>
              <c:pt idx="0">
                <c:v>Wahudumu wa afya</c:v>
              </c:pt>
              <c:pt idx="1">
                <c:v>Wagonjwa na wauguzaji wao</c:v>
              </c:pt>
              <c:pt idx="2">
                <c:v>Wananchi</c:v>
              </c:pt>
            </c:strLit>
          </c:cat>
          <c:val>
            <c:numLit>
              <c:ptCount val="3"/>
              <c:pt idx="0">
                <c:v>0</c:v>
              </c:pt>
              <c:pt idx="1">
                <c:v>2</c:v>
              </c:pt>
              <c:pt idx="2">
                <c:v>0</c:v>
              </c:pt>
            </c:numLit>
          </c:val>
        </c:ser>
        <c:axId val="1"/>
        <c:axId val="2"/>
      </c:barChart>
      <c:catAx>
        <c:axId val="1"/>
        <c:axPos val="b"/>
        <c:crossAx val="2"/>
        <c:auto val="1"/>
        <c:delete val="0"/>
        <c:majorTickMark val="none"/>
        <c:minorTickMark val="none"/>
        <c:tickLblPos val="none"/>
        <c:crosses val="autoZero"/>
        <c:scaling>
          <c:orientation val="minMax"/>
        </c:scaling>
        <c:spPr>
          <a:ln>
            <a:solidFill/>
          </a:ln>
        </c:spPr>
      </c:catAx>
      <c:valAx>
        <c:axId val="2"/>
        <c:axPos val="l"/>
        <c:crossAx val="1"/>
        <c:auto val="1"/>
        <c:delete val="0"/>
        <c:majorTickMark val="none"/>
        <c:minorTickMark val="none"/>
        <c:tickLblPos val="none"/>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2026-11-02T00:23:47+00:00</dcterms:created>
  <dcterms:modified xsi:type="dcterms:W3CDTF">2026-11-02T00:23:47+00:00</dcterms:modified>
</cp:coreProperties>
</file>

<file path=docProps/custom.xml><?xml version="1.0" encoding="utf-8"?>
<Properties xmlns="http://schemas.openxmlformats.org/officeDocument/2006/custom-properties" xmlns:vt="http://schemas.openxmlformats.org/officeDocument/2006/docPropsVTypes"/>
</file>